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Weekly Status Report - Project Atlas</w:t>
      </w:r>
    </w:p>
    <w:p>
      <w:r>
        <w:rPr>
          <w:color w:val="0F7C90"/>
          <w:sz w:val="23"/>
        </w:rPr>
        <w:t>PRG-2001 Northwind Store Modernisation  |  Week 40: 28 September - 2 October 2026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Overall status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RED (W39 Red, W38 Amber)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Accountable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Arjun Mehta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Kavya Iyer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Lena Fischer, Sofia Lindqvist, Mark Ellison</w:t>
            </w:r>
          </w:p>
        </w:tc>
      </w:tr>
    </w:tbl>
    <w:p>
      <w:pPr>
        <w:spacing w:after="40"/>
      </w:pPr>
    </w:p>
    <w:p>
      <w:pPr>
        <w:pStyle w:val="Heading1"/>
      </w:pPr>
      <w:r>
        <w:t>Status by dimension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86"/>
        <w:gridCol w:w="952"/>
        <w:gridCol w:w="952"/>
        <w:gridCol w:w="5955"/>
      </w:tblGrid>
      <w:tr>
        <w:trPr>
          <w:tblHeader w:val="true"/>
        </w:trPr>
        <w:tc>
          <w:tcPr>
            <w:tcW w:type="dxa" w:w="1787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95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953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595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787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953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953"/>
          </w:tcPr>
          <w:p>
            <w:r/>
            <w:r>
              <w:rPr>
                <w:sz w:val="18"/>
              </w:rPr>
              <w:t>Worse</w:t>
            </w:r>
          </w:p>
        </w:tc>
        <w:tc>
          <w:tcPr>
            <w:tcW w:type="dxa" w:w="5956"/>
          </w:tcPr>
          <w:p>
            <w:r/>
            <w:r>
              <w:rPr>
                <w:sz w:val="18"/>
              </w:rPr>
              <w:t>Wave 3 proposed to move from Dec 2026 to 15 Jan - 26 Mar 2027</w:t>
            </w:r>
          </w:p>
        </w:tc>
      </w:tr>
      <w:tr>
        <w:tc>
          <w:tcPr>
            <w:tcW w:type="dxa" w:w="1787"/>
            <w:shd w:val="clear" w:color="auto" w:fill="F3F5F8"/>
          </w:tcPr>
          <w:p>
            <w:r/>
            <w:r>
              <w:rPr>
                <w:sz w:val="18"/>
              </w:rPr>
              <w:t>Budget</w:t>
            </w:r>
          </w:p>
        </w:tc>
        <w:tc>
          <w:tcPr>
            <w:tcW w:type="dxa" w:w="953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953"/>
            <w:shd w:val="clear" w:color="auto" w:fill="F3F5F8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5956"/>
            <w:shd w:val="clear" w:color="auto" w:fill="F3F5F8"/>
          </w:tcPr>
          <w:p>
            <w:r/>
            <w:r>
              <w:rPr>
                <w:sz w:val="18"/>
              </w:rPr>
              <w:t>Cost burn 92% at 78% complete; EAC raised $410K to $3.96M</w:t>
            </w:r>
          </w:p>
        </w:tc>
      </w:tr>
      <w:tr>
        <w:tc>
          <w:tcPr>
            <w:tcW w:type="dxa" w:w="1787"/>
          </w:tcPr>
          <w:p>
            <w:r/>
            <w:r>
              <w:rPr>
                <w:sz w:val="18"/>
              </w:rPr>
              <w:t>Scope</w:t>
            </w:r>
          </w:p>
        </w:tc>
        <w:tc>
          <w:tcPr>
            <w:tcW w:type="dxa" w:w="953"/>
            <w:shd w:val="clear" w:color="auto" w:fill="FFF0CC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953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5956"/>
          </w:tcPr>
          <w:p>
            <w:r/>
            <w:r>
              <w:rPr>
                <w:sz w:val="18"/>
              </w:rPr>
              <w:t>Wave 3 change request (OPP-24103) on hold - CFO spend freeze</w:t>
            </w:r>
          </w:p>
        </w:tc>
      </w:tr>
      <w:tr>
        <w:tc>
          <w:tcPr>
            <w:tcW w:type="dxa" w:w="1787"/>
            <w:shd w:val="clear" w:color="auto" w:fill="F3F5F8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953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953"/>
            <w:shd w:val="clear" w:color="auto" w:fill="F3F5F8"/>
          </w:tcPr>
          <w:p>
            <w:r/>
            <w:r>
              <w:rPr>
                <w:sz w:val="18"/>
              </w:rPr>
              <w:t>Better</w:t>
            </w:r>
          </w:p>
        </w:tc>
        <w:tc>
          <w:tcPr>
            <w:tcW w:type="dxa" w:w="5956"/>
            <w:shd w:val="clear" w:color="auto" w:fill="F3F5F8"/>
          </w:tcPr>
          <w:p>
            <w:r/>
            <w:r>
              <w:rPr>
                <w:sz w:val="18"/>
              </w:rPr>
              <w:t>INC-48211 resolved; circuit breaker live; de-dup in test</w:t>
            </w:r>
          </w:p>
        </w:tc>
      </w:tr>
      <w:tr>
        <w:tc>
          <w:tcPr>
            <w:tcW w:type="dxa" w:w="1787"/>
          </w:tcPr>
          <w:p>
            <w:r/>
            <w:r>
              <w:rPr>
                <w:sz w:val="18"/>
              </w:rPr>
              <w:t>Resourcing</w:t>
            </w:r>
          </w:p>
        </w:tc>
        <w:tc>
          <w:tcPr>
            <w:tcW w:type="dxa" w:w="953"/>
            <w:shd w:val="clear" w:color="auto" w:fill="FFF0CC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953"/>
          </w:tcPr>
          <w:p>
            <w:r/>
            <w:r>
              <w:rPr>
                <w:sz w:val="18"/>
              </w:rPr>
              <w:t>Same</w:t>
            </w:r>
          </w:p>
        </w:tc>
        <w:tc>
          <w:tcPr>
            <w:tcW w:type="dxa" w:w="5956"/>
          </w:tcPr>
          <w:p>
            <w:r/>
            <w:r>
              <w:rPr>
                <w:sz w:val="18"/>
              </w:rPr>
              <w:t>Stabilisation squad of 6 added from AMS bench</w:t>
            </w:r>
          </w:p>
        </w:tc>
      </w:tr>
      <w:tr>
        <w:tc>
          <w:tcPr>
            <w:tcW w:type="dxa" w:w="1787"/>
            <w:shd w:val="clear" w:color="auto" w:fill="F3F5F8"/>
          </w:tcPr>
          <w:p>
            <w:r/>
            <w:r>
              <w:rPr>
                <w:sz w:val="18"/>
              </w:rPr>
              <w:t>Client satisfaction</w:t>
            </w:r>
          </w:p>
        </w:tc>
        <w:tc>
          <w:tcPr>
            <w:tcW w:type="dxa" w:w="953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953"/>
            <w:shd w:val="clear" w:color="auto" w:fill="F3F5F8"/>
          </w:tcPr>
          <w:p>
            <w:r/>
            <w:r>
              <w:rPr>
                <w:sz w:val="18"/>
              </w:rPr>
              <w:t>Worse</w:t>
            </w:r>
          </w:p>
        </w:tc>
        <w:tc>
          <w:tcPr>
            <w:tcW w:type="dxa" w:w="5956"/>
            <w:shd w:val="clear" w:color="auto" w:fill="F3F5F8"/>
          </w:tcPr>
          <w:p>
            <w:r/>
            <w:r>
              <w:rPr>
                <w:sz w:val="18"/>
              </w:rPr>
              <w:t>Formal escalation 29 Sep; CSAT 6.1 in Q3 pulse</w:t>
            </w:r>
          </w:p>
        </w:tc>
      </w:tr>
    </w:tbl>
    <w:p>
      <w:pPr>
        <w:spacing w:after="40"/>
      </w:pPr>
    </w:p>
    <w:p>
      <w:pPr>
        <w:pStyle w:val="Heading1"/>
      </w:pPr>
      <w:r>
        <w:t>Highlights this week</w:t>
      </w:r>
    </w:p>
    <w:p>
      <w:pPr>
        <w:pStyle w:val="ListBullet"/>
        <w:spacing w:after="40"/>
      </w:pPr>
      <w:r>
        <w:rPr/>
        <w:t>Offline fallback configured and tested in all 212 wave 2 stores (30 Sep).</w:t>
      </w:r>
    </w:p>
    <w:p>
      <w:pPr>
        <w:pStyle w:val="ListBullet"/>
        <w:spacing w:after="40"/>
      </w:pPr>
      <w:r>
        <w:rPr/>
        <w:t>Circuit breaker on loyalty lookup deployed 30 Sep 14:10 CT; load test at 3x Saturday peak passed.</w:t>
      </w:r>
    </w:p>
    <w:p>
      <w:pPr>
        <w:pStyle w:val="ListBullet"/>
        <w:spacing w:after="40"/>
      </w:pPr>
      <w:r>
        <w:rPr/>
        <w:t>Root cause analysis for INC-48211 sent to Lena Fischer (30 Sep).</w:t>
      </w:r>
    </w:p>
    <w:p>
      <w:pPr>
        <w:pStyle w:val="ListBullet"/>
        <w:spacing w:after="40"/>
      </w:pPr>
      <w:r>
        <w:rPr/>
        <w:t>Weekly sync on 1 Oct with new VP Technology, Sofia Lindqvist.</w:t>
      </w:r>
    </w:p>
    <w:p>
      <w:pPr>
        <w:pStyle w:val="Heading1"/>
      </w:pPr>
      <w:r>
        <w:t>Milestones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56"/>
        <w:gridCol w:w="1986"/>
        <w:gridCol w:w="1986"/>
        <w:gridCol w:w="1418"/>
      </w:tblGrid>
      <w:tr>
        <w:trPr>
          <w:tblHeader w:val="true"/>
        </w:trPr>
        <w:tc>
          <w:tcPr>
            <w:tcW w:type="dxa" w:w="425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98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98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Forecast</w:t>
            </w:r>
          </w:p>
        </w:tc>
        <w:tc>
          <w:tcPr>
            <w:tcW w:type="dxa" w:w="1419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256"/>
          </w:tcPr>
          <w:p>
            <w:r/>
            <w:r>
              <w:rPr>
                <w:sz w:val="18"/>
              </w:rPr>
              <w:t>Wave 2 complete (212 stores)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18 Sep 2026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18 Sep 2026</w:t>
            </w:r>
          </w:p>
        </w:tc>
        <w:tc>
          <w:tcPr>
            <w:tcW w:type="dxa" w:w="1419"/>
            <w:shd w:val="clear" w:color="auto" w:fill="D9F2E3"/>
          </w:tcPr>
          <w:p>
            <w:r/>
            <w:r>
              <w:rPr>
                <w:sz w:val="18"/>
              </w:rPr>
              <w:t>Green</w:t>
            </w:r>
          </w:p>
        </w:tc>
      </w:tr>
      <w:tr>
        <w:tc>
          <w:tcPr>
            <w:tcW w:type="dxa" w:w="4256"/>
            <w:shd w:val="clear" w:color="auto" w:fill="F3F5F8"/>
          </w:tcPr>
          <w:p>
            <w:r/>
            <w:r>
              <w:rPr>
                <w:sz w:val="18"/>
              </w:rPr>
              <w:t>Loyalty de-duplication in production</w:t>
            </w:r>
          </w:p>
        </w:tc>
        <w:tc>
          <w:tcPr>
            <w:tcW w:type="dxa" w:w="1986"/>
            <w:shd w:val="clear" w:color="auto" w:fill="F3F5F8"/>
          </w:tcPr>
          <w:p>
            <w:r/>
            <w:r>
              <w:rPr>
                <w:sz w:val="18"/>
              </w:rPr>
              <w:t>25 Sep 2026</w:t>
            </w:r>
          </w:p>
        </w:tc>
        <w:tc>
          <w:tcPr>
            <w:tcW w:type="dxa" w:w="1986"/>
            <w:shd w:val="clear" w:color="auto" w:fill="F3F5F8"/>
          </w:tcPr>
          <w:p>
            <w:r/>
            <w:r>
              <w:rPr>
                <w:sz w:val="18"/>
              </w:rPr>
              <w:t>13 Oct 2026</w:t>
            </w:r>
          </w:p>
        </w:tc>
        <w:tc>
          <w:tcPr>
            <w:tcW w:type="dxa" w:w="1419"/>
            <w:shd w:val="clear" w:color="auto" w:fill="FFF0CC"/>
          </w:tcPr>
          <w:p>
            <w:r/>
            <w:r>
              <w:rPr>
                <w:sz w:val="18"/>
              </w:rPr>
              <w:t>Amber</w:t>
            </w:r>
          </w:p>
        </w:tc>
      </w:tr>
      <w:tr>
        <w:tc>
          <w:tcPr>
            <w:tcW w:type="dxa" w:w="4256"/>
          </w:tcPr>
          <w:p>
            <w:r/>
            <w:r>
              <w:rPr>
                <w:sz w:val="18"/>
              </w:rPr>
              <w:t>Recovery plan to client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8 Oct 2026</w:t>
            </w:r>
          </w:p>
        </w:tc>
        <w:tc>
          <w:tcPr>
            <w:tcW w:type="dxa" w:w="1419"/>
            <w:shd w:val="clear" w:color="auto" w:fill="FFF0CC"/>
          </w:tcPr>
          <w:p>
            <w:r/>
            <w:r>
              <w:rPr>
                <w:sz w:val="18"/>
              </w:rPr>
              <w:t>Amber</w:t>
            </w:r>
          </w:p>
        </w:tc>
      </w:tr>
      <w:tr>
        <w:tc>
          <w:tcPr>
            <w:tcW w:type="dxa" w:w="4256"/>
            <w:shd w:val="clear" w:color="auto" w:fill="F3F5F8"/>
          </w:tcPr>
          <w:p>
            <w:r/>
            <w:r>
              <w:rPr>
                <w:sz w:val="18"/>
              </w:rPr>
              <w:t>Wave 3 start (220 stores)</w:t>
            </w:r>
          </w:p>
        </w:tc>
        <w:tc>
          <w:tcPr>
            <w:tcW w:type="dxa" w:w="1986"/>
            <w:shd w:val="clear" w:color="auto" w:fill="F3F5F8"/>
          </w:tcPr>
          <w:p>
            <w:r/>
            <w:r>
              <w:rPr>
                <w:sz w:val="18"/>
              </w:rPr>
              <w:t>26 Oct 2026</w:t>
            </w:r>
          </w:p>
        </w:tc>
        <w:tc>
          <w:tcPr>
            <w:tcW w:type="dxa" w:w="1986"/>
            <w:shd w:val="clear" w:color="auto" w:fill="F3F5F8"/>
          </w:tcPr>
          <w:p>
            <w:r/>
            <w:r>
              <w:rPr>
                <w:sz w:val="18"/>
              </w:rPr>
              <w:t>15 Jan 2027</w:t>
            </w:r>
          </w:p>
        </w:tc>
        <w:tc>
          <w:tcPr>
            <w:tcW w:type="dxa" w:w="1419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</w:tr>
      <w:tr>
        <w:tc>
          <w:tcPr>
            <w:tcW w:type="dxa" w:w="4256"/>
          </w:tcPr>
          <w:p>
            <w:r/>
            <w:r>
              <w:rPr>
                <w:sz w:val="18"/>
              </w:rPr>
              <w:t>Programme close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18 Dec 2026</w:t>
            </w:r>
          </w:p>
        </w:tc>
        <w:tc>
          <w:tcPr>
            <w:tcW w:type="dxa" w:w="1986"/>
          </w:tcPr>
          <w:p>
            <w:r/>
            <w:r>
              <w:rPr>
                <w:sz w:val="18"/>
              </w:rPr>
              <w:t>26 Mar 2027</w:t>
            </w:r>
          </w:p>
        </w:tc>
        <w:tc>
          <w:tcPr>
            <w:tcW w:type="dxa" w:w="1419"/>
            <w:shd w:val="clear" w:color="auto" w:fill="F8D7DA"/>
          </w:tcPr>
          <w:p>
            <w:r/>
            <w:r>
              <w:rPr>
                <w:sz w:val="18"/>
              </w:rPr>
              <w:t>Red</w:t>
            </w:r>
          </w:p>
        </w:tc>
      </w:tr>
    </w:tbl>
    <w:p>
      <w:pPr>
        <w:spacing w:after="40"/>
      </w:pPr>
    </w:p>
    <w:p>
      <w:pPr>
        <w:pStyle w:val="Heading1"/>
      </w:pPr>
      <w:r>
        <w:t>Top risks and issues</w:t>
      </w:r>
    </w:p>
    <w:p>
      <w:pPr>
        <w:pStyle w:val="ListBullet"/>
        <w:spacing w:after="40"/>
      </w:pPr>
      <w:r>
        <w:rPr/>
        <w:t>R-014 Holiday peak instability (score 20) - change freeze from 16 Nov.</w:t>
      </w:r>
    </w:p>
    <w:p>
      <w:pPr>
        <w:pStyle w:val="ListBullet"/>
        <w:spacing w:after="40"/>
      </w:pPr>
      <w:r>
        <w:rPr/>
        <w:t>I-033 Duplicate loyalty member IDs (~258K) - production fix 13 Oct.</w:t>
      </w:r>
    </w:p>
    <w:p>
      <w:pPr>
        <w:pStyle w:val="ListBullet"/>
        <w:spacing w:after="40"/>
      </w:pPr>
      <w:r>
        <w:rPr/>
        <w:t>I-034 Sponsor exit - relationship plan with Sofia Lindqvist.</w:t>
      </w:r>
    </w:p>
    <w:p>
      <w:pPr>
        <w:pStyle w:val="Heading1"/>
      </w:pPr>
      <w:r>
        <w:t>Decisions needed from Northwind</w:t>
      </w:r>
    </w:p>
    <w:p>
      <w:pPr>
        <w:pStyle w:val="ListNumber"/>
        <w:spacing w:after="40"/>
      </w:pPr>
      <w:r>
        <w:rPr/>
        <w:t>Agree wave 3 freeze until 15 January 2027 (proposed at 1 Oct sync; Lena agreed in principle).</w:t>
      </w:r>
    </w:p>
    <w:p>
      <w:pPr>
        <w:pStyle w:val="ListNumber"/>
        <w:spacing w:after="40"/>
      </w:pPr>
      <w:r>
        <w:rPr/>
        <w:t>Nominate a business owner for loyalty data sign-off now that Daniel Okafor has left.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Weekly Status Report - Project Atlas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 - Project Atlas</dc:title>
  <dc:subject>PRG-2001 Northwind Store Modernisation  |  Week 40: 28 September - 2 October 2026</dc:subject>
  <dc:creator>Kavya Iyer</dc:creator>
  <cp:keywords>Enterprise IQ</cp:keywords>
  <dc:description>Fictitious data for testing - Enterprise IQ test corpus</dc:description>
  <cp:lastModifiedBy>Kavya Iyer</cp:lastModifiedBy>
  <cp:revision>1</cp:revision>
  <dcterms:created xsi:type="dcterms:W3CDTF">2026-10-02T09:00:00Z</dcterms:created>
  <dcterms:modified xsi:type="dcterms:W3CDTF">2013-12-23T23:15:00Z</dcterms:modified>
  <cp:category>Confidential</cp:category>
</cp:coreProperties>
</file>