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Go / No-Go Brief: Calder Insurance Claims Modernisation</w:t>
      </w:r>
    </w:p>
    <w:p>
      <w:r>
        <w:rPr>
          <w:color w:val="0F7C90"/>
          <w:sz w:val="23"/>
        </w:rPr>
        <w:t>Bid qualification for RFP CI-2026-014 (BID-0618)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GO - approved by Anita Rao, 5 Oct 2026 (hour 2)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Submission due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20 Oct 2026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Deal value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$5.8M TCV, 22 months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Account owner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Marcus Bell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Recommendation</w:t>
      </w:r>
    </w:p>
    <w:p>
      <w:r>
        <w:rPr/>
        <w:t>Bid. Fit score 0.71 against a 0.60 threshold. Calder matches our insurance automation strengths and is the first joint pursuit with Guidewire, which the alliance team has prioritised for FY27.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Fit score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0.71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Requirements met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92%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Similar wins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3 (Litware IDP, 2 Guidewire programmes)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Staffable by January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Yes - 8 of 11 named people free</w:t>
            </w:r>
          </w:p>
        </w:tc>
      </w:tr>
    </w:tbl>
    <w:p>
      <w:pPr>
        <w:spacing w:after="40"/>
      </w:pPr>
    </w:p>
    <w:p>
      <w:pPr>
        <w:pStyle w:val="Heading1"/>
      </w:pPr>
      <w:r>
        <w:t>Qualification scorecard</w:t>
      </w:r>
    </w:p>
    <w:tbl>
      <w:tblPr>
        <w:tblStyle w:val="TableGrid"/>
        <w:tblW w:type="dxa" w:w="9648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87"/>
        <w:gridCol w:w="857"/>
        <w:gridCol w:w="964"/>
        <w:gridCol w:w="1286"/>
        <w:gridCol w:w="3752"/>
      </w:tblGrid>
      <w:tr>
        <w:trPr>
          <w:tblHeader w:val="true"/>
        </w:trPr>
        <w:tc>
          <w:tcPr>
            <w:tcW w:type="dxa" w:w="2787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5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96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1286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Weighted</w:t>
            </w:r>
          </w:p>
        </w:tc>
        <w:tc>
          <w:tcPr>
            <w:tcW w:type="dxa" w:w="3752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787"/>
          </w:tcPr>
          <w:p>
            <w:r/>
            <w:r>
              <w:rPr>
                <w:sz w:val="18"/>
              </w:rPr>
              <w:t>Strategic fit (target industry)</w:t>
            </w:r>
          </w:p>
        </w:tc>
        <w:tc>
          <w:tcPr>
            <w:tcW w:type="dxa" w:w="85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96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3752"/>
          </w:tcPr>
          <w:p>
            <w:r/>
            <w:r>
              <w:rPr>
                <w:sz w:val="18"/>
              </w:rPr>
              <w:t>BFSI insurance is a priority segment</w:t>
            </w:r>
          </w:p>
        </w:tc>
      </w:tr>
      <w:tr>
        <w:tc>
          <w:tcPr>
            <w:tcW w:type="dxa" w:w="2787"/>
            <w:shd w:val="clear" w:color="auto" w:fill="F3F5F8"/>
          </w:tcPr>
          <w:p>
            <w:r/>
            <w:r>
              <w:rPr>
                <w:sz w:val="18"/>
              </w:rPr>
              <w:t>Solution fit</w:t>
            </w:r>
          </w:p>
        </w:tc>
        <w:tc>
          <w:tcPr>
            <w:tcW w:type="dxa" w:w="858"/>
            <w:shd w:val="clear" w:color="auto" w:fill="F3F5F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965"/>
            <w:shd w:val="clear" w:color="auto" w:fill="F3F5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86"/>
            <w:shd w:val="clear" w:color="auto" w:fill="F3F5F8"/>
          </w:tcPr>
          <w:p>
            <w:r/>
            <w:r>
              <w:rPr>
                <w:sz w:val="18"/>
              </w:rPr>
              <w:t>0.80</w:t>
            </w:r>
          </w:p>
        </w:tc>
        <w:tc>
          <w:tcPr>
            <w:tcW w:type="dxa" w:w="3752"/>
            <w:shd w:val="clear" w:color="auto" w:fill="F3F5F8"/>
          </w:tcPr>
          <w:p>
            <w:r/>
            <w:r>
              <w:rPr>
                <w:sz w:val="18"/>
              </w:rPr>
              <w:t>ClaimCenter + IDP accelerator</w:t>
            </w:r>
          </w:p>
        </w:tc>
      </w:tr>
      <w:tr>
        <w:tc>
          <w:tcPr>
            <w:tcW w:type="dxa" w:w="2787"/>
          </w:tcPr>
          <w:p>
            <w:r/>
            <w:r>
              <w:rPr>
                <w:sz w:val="18"/>
              </w:rPr>
              <w:t>Relationship and access</w:t>
            </w:r>
          </w:p>
        </w:tc>
        <w:tc>
          <w:tcPr>
            <w:tcW w:type="dxa" w:w="85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96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3752"/>
          </w:tcPr>
          <w:p>
            <w:r/>
            <w:r>
              <w:rPr>
                <w:sz w:val="18"/>
              </w:rPr>
              <w:t>No prior relationship; Steven Marsh met once</w:t>
            </w:r>
          </w:p>
        </w:tc>
      </w:tr>
      <w:tr>
        <w:tc>
          <w:tcPr>
            <w:tcW w:type="dxa" w:w="2787"/>
            <w:shd w:val="clear" w:color="auto" w:fill="F3F5F8"/>
          </w:tcPr>
          <w:p>
            <w:r/>
            <w:r>
              <w:rPr>
                <w:sz w:val="18"/>
              </w:rPr>
              <w:t>Competitive position</w:t>
            </w:r>
          </w:p>
        </w:tc>
        <w:tc>
          <w:tcPr>
            <w:tcW w:type="dxa" w:w="858"/>
            <w:shd w:val="clear" w:color="auto" w:fill="F3F5F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965"/>
            <w:shd w:val="clear" w:color="auto" w:fill="F3F5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86"/>
            <w:shd w:val="clear" w:color="auto" w:fill="F3F5F8"/>
          </w:tcPr>
          <w:p>
            <w:r/>
            <w:r>
              <w:rPr>
                <w:sz w:val="18"/>
              </w:rPr>
              <w:t>0.45</w:t>
            </w:r>
          </w:p>
        </w:tc>
        <w:tc>
          <w:tcPr>
            <w:tcW w:type="dxa" w:w="3752"/>
            <w:shd w:val="clear" w:color="auto" w:fill="F3F5F8"/>
          </w:tcPr>
          <w:p>
            <w:r/>
            <w:r>
              <w:rPr>
                <w:sz w:val="18"/>
              </w:rPr>
              <w:t>Accenture likely favourite; Cognizant runs legacy AMS</w:t>
            </w:r>
          </w:p>
        </w:tc>
      </w:tr>
      <w:tr>
        <w:tc>
          <w:tcPr>
            <w:tcW w:type="dxa" w:w="2787"/>
          </w:tcPr>
          <w:p>
            <w:r/>
            <w:r>
              <w:rPr>
                <w:sz w:val="18"/>
              </w:rPr>
              <w:t>Delivery capacity</w:t>
            </w:r>
          </w:p>
        </w:tc>
        <w:tc>
          <w:tcPr>
            <w:tcW w:type="dxa" w:w="85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96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0.60</w:t>
            </w:r>
          </w:p>
        </w:tc>
        <w:tc>
          <w:tcPr>
            <w:tcW w:type="dxa" w:w="3752"/>
          </w:tcPr>
          <w:p>
            <w:r/>
            <w:r>
              <w:rPr>
                <w:sz w:val="18"/>
              </w:rPr>
              <w:t>11 named ClaimCenter consultants</w:t>
            </w:r>
          </w:p>
        </w:tc>
      </w:tr>
      <w:tr>
        <w:tc>
          <w:tcPr>
            <w:tcW w:type="dxa" w:w="2787"/>
            <w:shd w:val="clear" w:color="auto" w:fill="F3F5F8"/>
          </w:tcPr>
          <w:p>
            <w:r/>
            <w:r>
              <w:rPr>
                <w:sz w:val="18"/>
              </w:rPr>
              <w:t>Commercial attractiveness</w:t>
            </w:r>
          </w:p>
        </w:tc>
        <w:tc>
          <w:tcPr>
            <w:tcW w:type="dxa" w:w="858"/>
            <w:shd w:val="clear" w:color="auto" w:fill="F3F5F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965"/>
            <w:shd w:val="clear" w:color="auto" w:fill="F3F5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86"/>
            <w:shd w:val="clear" w:color="auto" w:fill="F3F5F8"/>
          </w:tcPr>
          <w:p>
            <w:r/>
            <w:r>
              <w:rPr>
                <w:sz w:val="18"/>
              </w:rPr>
              <w:t>0.45</w:t>
            </w:r>
          </w:p>
        </w:tc>
        <w:tc>
          <w:tcPr>
            <w:tcW w:type="dxa" w:w="3752"/>
            <w:shd w:val="clear" w:color="auto" w:fill="F3F5F8"/>
          </w:tcPr>
          <w:p>
            <w:r/>
            <w:r>
              <w:rPr>
                <w:sz w:val="18"/>
              </w:rPr>
              <w:t>Fixed-price R1 request adds risk</w:t>
            </w:r>
          </w:p>
        </w:tc>
      </w:tr>
      <w:tr>
        <w:tc>
          <w:tcPr>
            <w:tcW w:type="dxa" w:w="278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85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965"/>
          </w:tcPr>
          <w:p>
            <w:r/>
          </w:p>
        </w:tc>
        <w:tc>
          <w:tcPr>
            <w:tcW w:type="dxa" w:w="1286"/>
          </w:tcPr>
          <w:p>
            <w:r/>
            <w:r>
              <w:rPr>
                <w:sz w:val="18"/>
              </w:rPr>
              <w:t>3.60 / 5 = 0.71</w:t>
            </w:r>
          </w:p>
        </w:tc>
        <w:tc>
          <w:tcPr>
            <w:tcW w:type="dxa" w:w="3752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Qualification gaps and conditions</w:t>
      </w:r>
    </w:p>
    <w:p>
      <w:pPr>
        <w:pStyle w:val="ListBullet"/>
        <w:spacing w:after="40"/>
      </w:pPr>
      <w:r>
        <w:rPr>
          <w:b/>
        </w:rPr>
        <w:t>Gap - executive access:</w:t>
      </w:r>
      <w:r>
        <w:rPr/>
        <w:t xml:space="preserve"> no relationship above VP Claims Technology. Action: Marcus Bell to request a meeting with Calder's COO through Guidewire's alliance director (Andrew Price).</w:t>
      </w:r>
    </w:p>
    <w:p>
      <w:pPr>
        <w:pStyle w:val="ListBullet"/>
        <w:spacing w:after="40"/>
      </w:pPr>
      <w:r>
        <w:rPr>
          <w:b/>
        </w:rPr>
        <w:t>Gap - fixed price:</w:t>
      </w:r>
      <w:r>
        <w:rPr/>
        <w:t xml:space="preserve"> requirement 088 asks for a fixed-price option for release 1. Deal desk to price risk contingency before 14 Oct.</w:t>
      </w:r>
    </w:p>
    <w:p>
      <w:pPr>
        <w:pStyle w:val="ListBullet"/>
        <w:spacing w:after="40"/>
      </w:pPr>
      <w:r>
        <w:rPr>
          <w:b/>
        </w:rPr>
        <w:t>Partial - on-site team:</w:t>
      </w:r>
      <w:r>
        <w:rPr/>
        <w:t xml:space="preserve"> requirement 052 asks for a full on-site team in Hartford; we propose hybrid.</w:t>
      </w:r>
    </w:p>
    <w:p>
      <w:pPr>
        <w:pStyle w:val="ListBullet"/>
        <w:spacing w:after="40"/>
      </w:pPr>
      <w:r>
        <w:rPr>
          <w:b/>
        </w:rPr>
        <w:t>Condition:</w:t>
      </w:r>
      <w:r>
        <w:rPr/>
        <w:t xml:space="preserve"> pursue only if Guidewire confirms joint pursuit status (confirmed GW-PC-0412, 6 Oct).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Go / No-Go Brief: Calder Insurance Claims Modernisation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/ No-Go Brief: Calder Insurance Claims Modernisation</dc:title>
  <dc:subject>Bid qualification for RFP CI-2026-014 (BID-0618)</dc:subject>
  <dc:creator>Anita Rao</dc:creator>
  <cp:keywords>Enterprise IQ</cp:keywords>
  <dc:description>Fictitious data for testing - Enterprise IQ test corpus</dc:description>
  <cp:lastModifiedBy>Anita Rao</cp:lastModifiedBy>
  <cp:revision>1</cp:revision>
  <dcterms:created xsi:type="dcterms:W3CDTF">2026-10-05T09:00:00Z</dcterms:created>
  <dcterms:modified xsi:type="dcterms:W3CDTF">2013-12-23T23:15:00Z</dcterms:modified>
  <cp:category>Confidential</cp:category>
</cp:coreProperties>
</file>