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Claims Modernisation Programme - Response to RFP CI-2026-014</w:t>
      </w:r>
    </w:p>
    <w:p>
      <w:r>
        <w:rPr>
          <w:color w:val="0F7C90"/>
          <w:sz w:val="23"/>
        </w:rPr>
        <w:t>Prepared for Calder Insurance  |  DRAFT v0.6 for internal review (pricing pending deal desk)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Client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Calder Insurance (ACC-1014)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Bid owner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Anita Rao, Bid Manager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RFP reference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CI-2026-014 Claims Modernisation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Solution lead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Ravi Shankar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Visionet bid ID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BID-0618 / OPP-24230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Partners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Guidewire (PartnerConnect Select), AWS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Submission due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20 October 2026, 17:00 ET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Hour 19 of 48 - draft 64% complete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48"/>
      </w:tblGrid>
      <w:tr>
        <w:tc>
          <w:tcPr>
            <w:tcW w:type="dxa" w:w="9648"/>
            <w:shd w:val="clear" w:color="auto" w:fill="FFF0CC"/>
          </w:tcPr>
          <w:p>
            <w:r/>
            <w:r>
              <w:rPr>
                <w:b/>
                <w:color w:val="0F7C90"/>
              </w:rPr>
              <w:t xml:space="preserve">Draft note  </w:t>
            </w:r>
            <w:r>
              <w:rPr/>
              <w:t>Sections 4.2 (solution) and 7 (commercials) are still in draft. Requirement 088 (fixed-price option for phase 1) is open with the deal desk. Do not circulate outside the bid team.</w:t>
            </w:r>
          </w:p>
        </w:tc>
      </w:tr>
    </w:tbl>
    <w:p>
      <w:pPr>
        <w:spacing w:after="40"/>
      </w:pPr>
    </w:p>
    <w:p>
      <w:pPr>
        <w:pStyle w:val="Heading1"/>
      </w:pPr>
      <w:r>
        <w:t>1. Executive summary</w:t>
      </w:r>
    </w:p>
    <w:p>
      <w:r>
        <w:rPr/>
        <w:t>Calder Insurance wants to replace its 18-year-old mainframe claims platform with Guidewire ClaimCenter on Guidewire Cloud, cut first-notice-of-loss (FNOL) to settlement cycle time by 30%, and retire the Hartford data centre by Q4 2028.</w:t>
      </w:r>
    </w:p>
    <w:p>
      <w:r>
        <w:rPr/>
        <w:t>Visionet proposes a three-release programme over 22 months: commercial auto first, then property, then specialty lines. Each release goes live with its own data conversion and a parallel-run window, so Calder never has two claims systems of record for the same line of business.</w:t>
      </w:r>
    </w:p>
    <w:p>
      <w:pPr>
        <w:pStyle w:val="ListBullet"/>
        <w:spacing w:after="40"/>
      </w:pPr>
      <w:r>
        <w:rPr>
          <w:b/>
        </w:rPr>
        <w:t>Proven Guidewire delivery:</w:t>
      </w:r>
      <w:r>
        <w:rPr/>
        <w:t xml:space="preserve"> 2 ClaimCenter implementations and 140 certified Guidewire practitioners, with an accelerator library of 61 pre-built integrations.</w:t>
      </w:r>
    </w:p>
    <w:p>
      <w:pPr>
        <w:pStyle w:val="ListBullet"/>
        <w:spacing w:after="40"/>
      </w:pPr>
      <w:r>
        <w:rPr>
          <w:b/>
        </w:rPr>
        <w:t>Insurance automation built in:</w:t>
      </w:r>
      <w:r>
        <w:rPr/>
        <w:t xml:space="preserve"> our Intelligent Document Processing (IDP) accelerator, live at Litware Insurance, classifies FNOL documents with 94% straight-through accuracy.</w:t>
      </w:r>
    </w:p>
    <w:p>
      <w:pPr>
        <w:pStyle w:val="ListBullet"/>
        <w:spacing w:after="40"/>
      </w:pPr>
      <w:r>
        <w:rPr>
          <w:b/>
        </w:rPr>
        <w:t>Lower migration cost:</w:t>
      </w:r>
      <w:r>
        <w:rPr/>
        <w:t xml:space="preserve"> an AWS migration incentive of up to $120,000 (MAP) has been confirmed for eligibility, funding the data conversion factory.</w:t>
      </w:r>
    </w:p>
    <w:p>
      <w:pPr>
        <w:pStyle w:val="ListBullet"/>
        <w:spacing w:after="40"/>
      </w:pPr>
      <w:r>
        <w:rPr>
          <w:b/>
        </w:rPr>
        <w:t>Hybrid delivery from Hartford:</w:t>
      </w:r>
      <w:r>
        <w:rPr/>
        <w:t xml:space="preserve"> a 9-person on-site core team in Hartford, with build and test from our nearshore centre; see section 6 for the response to requirement 052.</w:t>
      </w:r>
    </w:p>
    <w:p>
      <w:pPr>
        <w:pStyle w:val="Heading1"/>
      </w:pPr>
      <w:r>
        <w:t>2. Our understanding of Calder's objectives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9"/>
        <w:gridCol w:w="3284"/>
        <w:gridCol w:w="3284"/>
      </w:tblGrid>
      <w:tr>
        <w:trPr>
          <w:tblHeader w:val="true"/>
        </w:trPr>
        <w:tc>
          <w:tcPr>
            <w:tcW w:type="dxa" w:w="3079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Calder objective (from RFP section 2)</w:t>
            </w:r>
          </w:p>
        </w:tc>
        <w:tc>
          <w:tcPr>
            <w:tcW w:type="dxa" w:w="3284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What it means for the programme</w:t>
            </w:r>
          </w:p>
        </w:tc>
        <w:tc>
          <w:tcPr>
            <w:tcW w:type="dxa" w:w="3284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How we respond</w:t>
            </w:r>
          </w:p>
        </w:tc>
      </w:tr>
      <w:tr>
        <w:tc>
          <w:tcPr>
            <w:tcW w:type="dxa" w:w="3079"/>
          </w:tcPr>
          <w:p>
            <w:r/>
            <w:r>
              <w:rPr>
                <w:sz w:val="18"/>
              </w:rPr>
              <w:t>Reduce FNOL-to-settlement cycle time by 30%</w:t>
            </w:r>
          </w:p>
        </w:tc>
        <w:tc>
          <w:tcPr>
            <w:tcW w:type="dxa" w:w="3284"/>
          </w:tcPr>
          <w:p>
            <w:r/>
            <w:r>
              <w:rPr>
                <w:sz w:val="18"/>
              </w:rPr>
              <w:t>Automate intake, triage and straight-through payment for low-complexity auto claims</w:t>
            </w:r>
          </w:p>
        </w:tc>
        <w:tc>
          <w:tcPr>
            <w:tcW w:type="dxa" w:w="3284"/>
          </w:tcPr>
          <w:p>
            <w:r/>
            <w:r>
              <w:rPr>
                <w:sz w:val="18"/>
              </w:rPr>
              <w:t>IDP at FNOL, rules-based triage, ClaimCenter automated payments</w:t>
            </w:r>
          </w:p>
        </w:tc>
      </w:tr>
      <w:tr>
        <w:tc>
          <w:tcPr>
            <w:tcW w:type="dxa" w:w="3079"/>
            <w:shd w:val="clear" w:color="auto" w:fill="F3F5F8"/>
          </w:tcPr>
          <w:p>
            <w:r/>
            <w:r>
              <w:rPr>
                <w:sz w:val="18"/>
              </w:rPr>
              <w:t>Retire mainframe claims by Q4 2028</w:t>
            </w:r>
          </w:p>
        </w:tc>
        <w:tc>
          <w:tcPr>
            <w:tcW w:type="dxa" w:w="3284"/>
            <w:shd w:val="clear" w:color="auto" w:fill="F3F5F8"/>
          </w:tcPr>
          <w:p>
            <w:r/>
            <w:r>
              <w:rPr>
                <w:sz w:val="18"/>
              </w:rPr>
              <w:t>No more than 2 years of dual running</w:t>
            </w:r>
          </w:p>
        </w:tc>
        <w:tc>
          <w:tcPr>
            <w:tcW w:type="dxa" w:w="3284"/>
            <w:shd w:val="clear" w:color="auto" w:fill="F3F5F8"/>
          </w:tcPr>
          <w:p>
            <w:r/>
            <w:r>
              <w:rPr>
                <w:sz w:val="18"/>
              </w:rPr>
              <w:t>3 releases, last go-live in month 22</w:t>
            </w:r>
          </w:p>
        </w:tc>
      </w:tr>
      <w:tr>
        <w:tc>
          <w:tcPr>
            <w:tcW w:type="dxa" w:w="3079"/>
          </w:tcPr>
          <w:p>
            <w:r/>
            <w:r>
              <w:rPr>
                <w:sz w:val="18"/>
              </w:rPr>
              <w:t>Improve adjuster productivity</w:t>
            </w:r>
          </w:p>
        </w:tc>
        <w:tc>
          <w:tcPr>
            <w:tcW w:type="dxa" w:w="3284"/>
          </w:tcPr>
          <w:p>
            <w:r/>
            <w:r>
              <w:rPr>
                <w:sz w:val="18"/>
              </w:rPr>
              <w:t>Single desktop, fewer re-keys</w:t>
            </w:r>
          </w:p>
        </w:tc>
        <w:tc>
          <w:tcPr>
            <w:tcW w:type="dxa" w:w="3284"/>
          </w:tcPr>
          <w:p>
            <w:r/>
            <w:r>
              <w:rPr>
                <w:sz w:val="18"/>
              </w:rPr>
              <w:t>ClaimCenter + Guidewire Jutro digital portals</w:t>
            </w:r>
          </w:p>
        </w:tc>
      </w:tr>
      <w:tr>
        <w:tc>
          <w:tcPr>
            <w:tcW w:type="dxa" w:w="3079"/>
            <w:shd w:val="clear" w:color="auto" w:fill="F3F5F8"/>
          </w:tcPr>
          <w:p>
            <w:r/>
            <w:r>
              <w:rPr>
                <w:sz w:val="18"/>
              </w:rPr>
              <w:t>Meet NAIC data security model law</w:t>
            </w:r>
          </w:p>
        </w:tc>
        <w:tc>
          <w:tcPr>
            <w:tcW w:type="dxa" w:w="3284"/>
            <w:shd w:val="clear" w:color="auto" w:fill="F3F5F8"/>
          </w:tcPr>
          <w:p>
            <w:r/>
            <w:r>
              <w:rPr>
                <w:sz w:val="18"/>
              </w:rPr>
              <w:t>Encryption, access logging, vendor oversight</w:t>
            </w:r>
          </w:p>
        </w:tc>
        <w:tc>
          <w:tcPr>
            <w:tcW w:type="dxa" w:w="3284"/>
            <w:shd w:val="clear" w:color="auto" w:fill="F3F5F8"/>
          </w:tcPr>
          <w:p>
            <w:r/>
            <w:r>
              <w:rPr>
                <w:sz w:val="18"/>
              </w:rPr>
              <w:t>SOC 2 Type II (2026 report), AWS-native controls</w:t>
            </w:r>
          </w:p>
        </w:tc>
      </w:tr>
      <w:tr>
        <w:tc>
          <w:tcPr>
            <w:tcW w:type="dxa" w:w="3079"/>
          </w:tcPr>
          <w:p>
            <w:r/>
            <w:r>
              <w:rPr>
                <w:sz w:val="18"/>
              </w:rPr>
              <w:t>Predictable cost</w:t>
            </w:r>
          </w:p>
        </w:tc>
        <w:tc>
          <w:tcPr>
            <w:tcW w:type="dxa" w:w="3284"/>
          </w:tcPr>
          <w:p>
            <w:r/>
            <w:r>
              <w:rPr>
                <w:sz w:val="18"/>
              </w:rPr>
              <w:t>Fixed price where scope is stable</w:t>
            </w:r>
          </w:p>
        </w:tc>
        <w:tc>
          <w:tcPr>
            <w:tcW w:type="dxa" w:w="3284"/>
          </w:tcPr>
          <w:p>
            <w:r/>
            <w:r>
              <w:rPr>
                <w:sz w:val="18"/>
              </w:rPr>
              <w:t>Fixed price for release 1 under evaluation (req. 088)</w:t>
            </w:r>
          </w:p>
        </w:tc>
      </w:tr>
    </w:tbl>
    <w:p>
      <w:pPr>
        <w:spacing w:after="40"/>
      </w:pPr>
    </w:p>
    <w:p>
      <w:pPr>
        <w:pStyle w:val="Heading1"/>
      </w:pPr>
      <w:r>
        <w:t>3. Proposed solution</w:t>
      </w:r>
    </w:p>
    <w:p>
      <w:pPr>
        <w:pStyle w:val="Heading2"/>
      </w:pPr>
      <w:r>
        <w:t>3.1 Target architecture</w:t>
      </w:r>
    </w:p>
    <w:p>
      <w:r>
        <w:rPr/>
        <w:t>ClaimCenter runs on Guidewire Cloud Platform (AWS us-east-1), integrated with PolicyCenter (Calder retains its current policy admin system until 2029), the Duck Creek billing platform, and Calder's Snowflake claims data warehouse through Guidewire Data Platform.</w:t>
      </w:r>
    </w:p>
    <w:tbl>
      <w:tblPr>
        <w:tblStyle w:val="TableGrid"/>
        <w:tblW w:type="dxa" w:w="9648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859"/>
        <w:gridCol w:w="2653"/>
      </w:tblGrid>
      <w:tr>
        <w:trPr>
          <w:tblHeader w:val="true"/>
        </w:trPr>
        <w:tc>
          <w:tcPr>
            <w:tcW w:type="dxa" w:w="313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3859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653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Accelerator</w:t>
            </w:r>
          </w:p>
        </w:tc>
      </w:tr>
      <w:tr>
        <w:tc>
          <w:tcPr>
            <w:tcW w:type="dxa" w:w="3136"/>
          </w:tcPr>
          <w:p>
            <w:r/>
            <w:r>
              <w:rPr>
                <w:sz w:val="18"/>
              </w:rPr>
              <w:t>Policy admin (legacy)</w:t>
            </w:r>
          </w:p>
        </w:tc>
        <w:tc>
          <w:tcPr>
            <w:tcW w:type="dxa" w:w="3859"/>
          </w:tcPr>
          <w:p>
            <w:r/>
            <w:r>
              <w:rPr>
                <w:sz w:val="18"/>
              </w:rPr>
              <w:t>Real-time policy lookup via API gateway</w:t>
            </w:r>
          </w:p>
        </w:tc>
        <w:tc>
          <w:tcPr>
            <w:tcW w:type="dxa" w:w="2653"/>
          </w:tcPr>
          <w:p>
            <w:r/>
            <w:r>
              <w:rPr>
                <w:sz w:val="18"/>
              </w:rPr>
              <w:t>GW-INT-014 Policy Adapter</w:t>
            </w:r>
          </w:p>
        </w:tc>
      </w:tr>
      <w:tr>
        <w:tc>
          <w:tcPr>
            <w:tcW w:type="dxa" w:w="3136"/>
            <w:shd w:val="clear" w:color="auto" w:fill="F3F5F8"/>
          </w:tcPr>
          <w:p>
            <w:r/>
            <w:r>
              <w:rPr>
                <w:sz w:val="18"/>
              </w:rPr>
              <w:t>FNOL intake (web, call centre, agent)</w:t>
            </w:r>
          </w:p>
        </w:tc>
        <w:tc>
          <w:tcPr>
            <w:tcW w:type="dxa" w:w="3859"/>
            <w:shd w:val="clear" w:color="auto" w:fill="F3F5F8"/>
          </w:tcPr>
          <w:p>
            <w:r/>
            <w:r>
              <w:rPr>
                <w:sz w:val="18"/>
              </w:rPr>
              <w:t>Event-driven, IDP for attachments</w:t>
            </w:r>
          </w:p>
        </w:tc>
        <w:tc>
          <w:tcPr>
            <w:tcW w:type="dxa" w:w="2653"/>
            <w:shd w:val="clear" w:color="auto" w:fill="F3F5F8"/>
          </w:tcPr>
          <w:p>
            <w:r/>
            <w:r>
              <w:rPr>
                <w:sz w:val="18"/>
              </w:rPr>
              <w:t>IDP-FNOL v3</w:t>
            </w:r>
          </w:p>
        </w:tc>
      </w:tr>
      <w:tr>
        <w:tc>
          <w:tcPr>
            <w:tcW w:type="dxa" w:w="3136"/>
          </w:tcPr>
          <w:p>
            <w:r/>
            <w:r>
              <w:rPr>
                <w:sz w:val="18"/>
              </w:rPr>
              <w:t>Payments (Duck Creek billing)</w:t>
            </w:r>
          </w:p>
        </w:tc>
        <w:tc>
          <w:tcPr>
            <w:tcW w:type="dxa" w:w="3859"/>
          </w:tcPr>
          <w:p>
            <w:r/>
            <w:r>
              <w:rPr>
                <w:sz w:val="18"/>
              </w:rPr>
              <w:t>Batch + API</w:t>
            </w:r>
          </w:p>
        </w:tc>
        <w:tc>
          <w:tcPr>
            <w:tcW w:type="dxa" w:w="2653"/>
          </w:tcPr>
          <w:p>
            <w:r/>
            <w:r>
              <w:rPr>
                <w:sz w:val="18"/>
              </w:rPr>
              <w:t>GW-INT-031 Payments</w:t>
            </w:r>
          </w:p>
        </w:tc>
      </w:tr>
      <w:tr>
        <w:tc>
          <w:tcPr>
            <w:tcW w:type="dxa" w:w="3136"/>
            <w:shd w:val="clear" w:color="auto" w:fill="F3F5F8"/>
          </w:tcPr>
          <w:p>
            <w:r/>
            <w:r>
              <w:rPr>
                <w:sz w:val="18"/>
              </w:rPr>
              <w:t>Fraud scoring (FRISS)</w:t>
            </w:r>
          </w:p>
        </w:tc>
        <w:tc>
          <w:tcPr>
            <w:tcW w:type="dxa" w:w="3859"/>
            <w:shd w:val="clear" w:color="auto" w:fill="F3F5F8"/>
          </w:tcPr>
          <w:p>
            <w:r/>
            <w:r>
              <w:rPr>
                <w:sz w:val="18"/>
              </w:rPr>
              <w:t>Synchronous scoring on claim creation</w:t>
            </w:r>
          </w:p>
        </w:tc>
        <w:tc>
          <w:tcPr>
            <w:tcW w:type="dxa" w:w="2653"/>
            <w:shd w:val="clear" w:color="auto" w:fill="F3F5F8"/>
          </w:tcPr>
          <w:p>
            <w:r/>
            <w:r>
              <w:rPr>
                <w:sz w:val="18"/>
              </w:rPr>
              <w:t>GW-INT-044 Fraud Hook</w:t>
            </w:r>
          </w:p>
        </w:tc>
      </w:tr>
      <w:tr>
        <w:tc>
          <w:tcPr>
            <w:tcW w:type="dxa" w:w="3136"/>
          </w:tcPr>
          <w:p>
            <w:r/>
            <w:r>
              <w:rPr>
                <w:sz w:val="18"/>
              </w:rPr>
              <w:t>Data warehouse (Snowflake)</w:t>
            </w:r>
          </w:p>
        </w:tc>
        <w:tc>
          <w:tcPr>
            <w:tcW w:type="dxa" w:w="3859"/>
          </w:tcPr>
          <w:p>
            <w:r/>
            <w:r>
              <w:rPr>
                <w:sz w:val="18"/>
              </w:rPr>
              <w:t>Guidewire Data Platform CDC</w:t>
            </w:r>
          </w:p>
        </w:tc>
        <w:tc>
          <w:tcPr>
            <w:tcW w:type="dxa" w:w="2653"/>
          </w:tcPr>
          <w:p>
            <w:r/>
            <w:r>
              <w:rPr>
                <w:sz w:val="18"/>
              </w:rPr>
              <w:t>GDP-SF Connector</w:t>
            </w:r>
          </w:p>
        </w:tc>
      </w:tr>
    </w:tbl>
    <w:p>
      <w:pPr>
        <w:spacing w:after="40"/>
      </w:pPr>
    </w:p>
    <w:p>
      <w:pPr>
        <w:pStyle w:val="Heading2"/>
      </w:pPr>
      <w:r>
        <w:t>3.2 Release plan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20"/>
        <w:gridCol w:w="4770"/>
        <w:gridCol w:w="1378"/>
        <w:gridCol w:w="1378"/>
      </w:tblGrid>
      <w:tr>
        <w:trPr>
          <w:tblHeader w:val="true"/>
        </w:trPr>
        <w:tc>
          <w:tcPr>
            <w:tcW w:type="dxa" w:w="2120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4771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37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37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Go-live</w:t>
            </w:r>
          </w:p>
        </w:tc>
      </w:tr>
      <w:tr>
        <w:tc>
          <w:tcPr>
            <w:tcW w:type="dxa" w:w="2120"/>
          </w:tcPr>
          <w:p>
            <w:r/>
            <w:r>
              <w:rPr>
                <w:sz w:val="18"/>
              </w:rPr>
              <w:t>R1 - Commercial auto</w:t>
            </w:r>
          </w:p>
        </w:tc>
        <w:tc>
          <w:tcPr>
            <w:tcW w:type="dxa" w:w="4771"/>
          </w:tcPr>
          <w:p>
            <w:r/>
            <w:r>
              <w:rPr>
                <w:sz w:val="18"/>
              </w:rPr>
              <w:t>FNOL, triage, auto claims, payments, conversion of 41K open claims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9 months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Aug 2027</w:t>
            </w:r>
          </w:p>
        </w:tc>
      </w:tr>
      <w:tr>
        <w:tc>
          <w:tcPr>
            <w:tcW w:type="dxa" w:w="2120"/>
            <w:shd w:val="clear" w:color="auto" w:fill="F3F5F8"/>
          </w:tcPr>
          <w:p>
            <w:r/>
            <w:r>
              <w:rPr>
                <w:sz w:val="18"/>
              </w:rPr>
              <w:t>R2 - Property</w:t>
            </w:r>
          </w:p>
        </w:tc>
        <w:tc>
          <w:tcPr>
            <w:tcW w:type="dxa" w:w="4771"/>
            <w:shd w:val="clear" w:color="auto" w:fill="F3F5F8"/>
          </w:tcPr>
          <w:p>
            <w:r/>
            <w:r>
              <w:rPr>
                <w:sz w:val="18"/>
              </w:rPr>
              <w:t>Property claims, catastrophe surge model, vendor portal</w:t>
            </w:r>
          </w:p>
        </w:tc>
        <w:tc>
          <w:tcPr>
            <w:tcW w:type="dxa" w:w="1378"/>
            <w:shd w:val="clear" w:color="auto" w:fill="F3F5F8"/>
          </w:tcPr>
          <w:p>
            <w:r/>
            <w:r>
              <w:rPr>
                <w:sz w:val="18"/>
              </w:rPr>
              <w:t>7 months</w:t>
            </w:r>
          </w:p>
        </w:tc>
        <w:tc>
          <w:tcPr>
            <w:tcW w:type="dxa" w:w="1378"/>
            <w:shd w:val="clear" w:color="auto" w:fill="F3F5F8"/>
          </w:tcPr>
          <w:p>
            <w:r/>
            <w:r>
              <w:rPr>
                <w:sz w:val="18"/>
              </w:rPr>
              <w:t>Mar 2028</w:t>
            </w:r>
          </w:p>
        </w:tc>
      </w:tr>
      <w:tr>
        <w:tc>
          <w:tcPr>
            <w:tcW w:type="dxa" w:w="2120"/>
          </w:tcPr>
          <w:p>
            <w:r/>
            <w:r>
              <w:rPr>
                <w:sz w:val="18"/>
              </w:rPr>
              <w:t>R3 - Specialty lines</w:t>
            </w:r>
          </w:p>
        </w:tc>
        <w:tc>
          <w:tcPr>
            <w:tcW w:type="dxa" w:w="4771"/>
          </w:tcPr>
          <w:p>
            <w:r/>
            <w:r>
              <w:rPr>
                <w:sz w:val="18"/>
              </w:rPr>
              <w:t>Specialty and liability, legacy decommission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6 months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Sep 2028</w:t>
            </w:r>
          </w:p>
        </w:tc>
      </w:tr>
    </w:tbl>
    <w:p>
      <w:pPr>
        <w:spacing w:after="40"/>
      </w:pPr>
    </w:p>
    <w:p>
      <w:pPr>
        <w:pStyle w:val="Heading1"/>
      </w:pPr>
      <w:r>
        <w:t>4. Delivery approach</w:t>
      </w:r>
    </w:p>
    <w:p>
      <w:r>
        <w:rPr/>
        <w:t>We use Guidewire's InsuranceSuite delivery methodology with two-week sprints, a dedicated conversion factory and a joint Calder-Visionet design authority that meets weekly.</w:t>
      </w:r>
    </w:p>
    <w:p>
      <w:pPr>
        <w:pStyle w:val="Heading2"/>
      </w:pPr>
      <w:r>
        <w:t>4.2 Data conversion  [DRAFT - Mei Tanaka to complete]</w:t>
      </w:r>
    </w:p>
    <w:p>
      <w:r>
        <w:rPr/>
        <w:t>Conversion follows a staged extract-transform-load with reconciliation at claim, reserve and payment level. We will run four mock conversions before R1 go-live; acceptance requires 100% claim count reconciliation and financial variance below 0.01%.</w:t>
      </w:r>
    </w:p>
    <w:p>
      <w:pPr>
        <w:pStyle w:val="Heading1"/>
      </w:pPr>
      <w:r>
        <w:t>5. Compliance summary</w:t>
      </w:r>
    </w:p>
    <w:p>
      <w:r>
        <w:rPr/>
        <w:t>The full compliance matrix (186 requirements) is in Appendix B. Summary as of draft v0.6: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78"/>
        <w:gridCol w:w="1378"/>
        <w:gridCol w:w="6891"/>
      </w:tblGrid>
      <w:tr>
        <w:trPr>
          <w:tblHeader w:val="true"/>
        </w:trPr>
        <w:tc>
          <w:tcPr>
            <w:tcW w:type="dxa" w:w="137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7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6891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78"/>
            <w:shd w:val="clear" w:color="auto" w:fill="D9F2E3"/>
          </w:tcPr>
          <w:p>
            <w:r/>
            <w:r>
              <w:rPr>
                <w:sz w:val="18"/>
              </w:rPr>
              <w:t>Met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158</w:t>
            </w:r>
          </w:p>
        </w:tc>
        <w:tc>
          <w:tcPr>
            <w:tcW w:type="dxa" w:w="6891"/>
          </w:tcPr>
          <w:p>
            <w:r/>
            <w:r>
              <w:rPr>
                <w:sz w:val="18"/>
              </w:rPr>
              <w:t>Including 014 ClaimCenter integration and 037 SOC 2 Type II</w:t>
            </w:r>
          </w:p>
        </w:tc>
      </w:tr>
      <w:tr>
        <w:tc>
          <w:tcPr>
            <w:tcW w:type="dxa" w:w="1378"/>
            <w:shd w:val="clear" w:color="auto" w:fill="FFF0CC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1378"/>
            <w:shd w:val="clear" w:color="auto" w:fill="F3F5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6891"/>
            <w:shd w:val="clear" w:color="auto" w:fill="F3F5F8"/>
          </w:tcPr>
          <w:p>
            <w:r/>
            <w:r>
              <w:rPr>
                <w:sz w:val="18"/>
              </w:rPr>
              <w:t>Including 052 on-site team in Hartford (hybrid model proposed)</w:t>
            </w:r>
          </w:p>
        </w:tc>
      </w:tr>
      <w:tr>
        <w:tc>
          <w:tcPr>
            <w:tcW w:type="dxa" w:w="1378"/>
            <w:shd w:val="clear" w:color="auto" w:fill="F8D7DA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6891"/>
          </w:tcPr>
          <w:p>
            <w:r/>
            <w:r>
              <w:rPr>
                <w:sz w:val="18"/>
              </w:rPr>
              <w:t>Including 088 fixed-price option for phase 1 (with deal desk)</w:t>
            </w:r>
          </w:p>
        </w:tc>
      </w:tr>
    </w:tbl>
    <w:p>
      <w:pPr>
        <w:spacing w:after="40"/>
      </w:pPr>
    </w:p>
    <w:p>
      <w:pPr>
        <w:pStyle w:val="Heading1"/>
      </w:pPr>
      <w:r>
        <w:t>6. Team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56"/>
        <w:gridCol w:w="3445"/>
        <w:gridCol w:w="1837"/>
        <w:gridCol w:w="1608"/>
      </w:tblGrid>
      <w:tr>
        <w:trPr>
          <w:tblHeader w:val="true"/>
        </w:trPr>
        <w:tc>
          <w:tcPr>
            <w:tcW w:type="dxa" w:w="2757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4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3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0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Allocation</w:t>
            </w:r>
          </w:p>
        </w:tc>
      </w:tr>
      <w:tr>
        <w:tc>
          <w:tcPr>
            <w:tcW w:type="dxa" w:w="2757"/>
          </w:tcPr>
          <w:p>
            <w:r/>
            <w:r>
              <w:rPr>
                <w:sz w:val="18"/>
              </w:rPr>
              <w:t>Engagement Partner</w:t>
            </w:r>
          </w:p>
        </w:tc>
        <w:tc>
          <w:tcPr>
            <w:tcW w:type="dxa" w:w="3446"/>
          </w:tcPr>
          <w:p>
            <w:r/>
            <w:r>
              <w:rPr>
                <w:sz w:val="18"/>
              </w:rPr>
              <w:t>Marcus Bell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New York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757"/>
            <w:shd w:val="clear" w:color="auto" w:fill="F3F5F8"/>
          </w:tcPr>
          <w:p>
            <w:r/>
            <w:r>
              <w:rPr>
                <w:sz w:val="18"/>
              </w:rPr>
              <w:t>Programme Director</w:t>
            </w:r>
          </w:p>
        </w:tc>
        <w:tc>
          <w:tcPr>
            <w:tcW w:type="dxa" w:w="3446"/>
            <w:shd w:val="clear" w:color="auto" w:fill="F3F5F8"/>
          </w:tcPr>
          <w:p>
            <w:r/>
            <w:r>
              <w:rPr>
                <w:sz w:val="18"/>
              </w:rPr>
              <w:t>To be confirmed (shortlist: 2)</w:t>
            </w:r>
          </w:p>
        </w:tc>
        <w:tc>
          <w:tcPr>
            <w:tcW w:type="dxa" w:w="1838"/>
            <w:shd w:val="clear" w:color="auto" w:fill="F3F5F8"/>
          </w:tcPr>
          <w:p>
            <w:r/>
            <w:r>
              <w:rPr>
                <w:sz w:val="18"/>
              </w:rPr>
              <w:t>Hartford</w:t>
            </w:r>
          </w:p>
        </w:tc>
        <w:tc>
          <w:tcPr>
            <w:tcW w:type="dxa" w:w="1608"/>
            <w:shd w:val="clear" w:color="auto" w:fill="F3F5F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757"/>
          </w:tcPr>
          <w:p>
            <w:r/>
            <w:r>
              <w:rPr>
                <w:sz w:val="18"/>
              </w:rPr>
              <w:t>Guidewire Solution Architect</w:t>
            </w:r>
          </w:p>
        </w:tc>
        <w:tc>
          <w:tcPr>
            <w:tcW w:type="dxa" w:w="3446"/>
          </w:tcPr>
          <w:p>
            <w:r/>
            <w:r>
              <w:rPr>
                <w:sz w:val="18"/>
              </w:rPr>
              <w:t>Ravi Shankar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Hartford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100% (R1)</w:t>
            </w:r>
          </w:p>
        </w:tc>
      </w:tr>
      <w:tr>
        <w:tc>
          <w:tcPr>
            <w:tcW w:type="dxa" w:w="2757"/>
            <w:shd w:val="clear" w:color="auto" w:fill="F3F5F8"/>
          </w:tcPr>
          <w:p>
            <w:r/>
            <w:r>
              <w:rPr>
                <w:sz w:val="18"/>
              </w:rPr>
              <w:t>Data Conversion Lead</w:t>
            </w:r>
          </w:p>
        </w:tc>
        <w:tc>
          <w:tcPr>
            <w:tcW w:type="dxa" w:w="3446"/>
            <w:shd w:val="clear" w:color="auto" w:fill="F3F5F8"/>
          </w:tcPr>
          <w:p>
            <w:r/>
            <w:r>
              <w:rPr>
                <w:sz w:val="18"/>
              </w:rPr>
              <w:t>Mei Tanaka</w:t>
            </w:r>
          </w:p>
        </w:tc>
        <w:tc>
          <w:tcPr>
            <w:tcW w:type="dxa" w:w="1838"/>
            <w:shd w:val="clear" w:color="auto" w:fill="F3F5F8"/>
          </w:tcPr>
          <w:p>
            <w:r/>
            <w:r>
              <w:rPr>
                <w:sz w:val="18"/>
              </w:rPr>
              <w:t>Remote / Hartford</w:t>
            </w:r>
          </w:p>
        </w:tc>
        <w:tc>
          <w:tcPr>
            <w:tcW w:type="dxa" w:w="1608"/>
            <w:shd w:val="clear" w:color="auto" w:fill="F3F5F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757"/>
          </w:tcPr>
          <w:p>
            <w:r/>
            <w:r>
              <w:rPr>
                <w:sz w:val="18"/>
              </w:rPr>
              <w:t>Delivery team</w:t>
            </w:r>
          </w:p>
        </w:tc>
        <w:tc>
          <w:tcPr>
            <w:tcW w:type="dxa" w:w="3446"/>
          </w:tcPr>
          <w:p>
            <w:r/>
            <w:r>
              <w:rPr>
                <w:sz w:val="18"/>
              </w:rPr>
              <w:t>11 named people with ClaimCenter experience (8 available from January 2027)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Nearshore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Ramp from month 2</w:t>
            </w:r>
          </w:p>
        </w:tc>
      </w:tr>
    </w:tbl>
    <w:p>
      <w:pPr>
        <w:spacing w:after="40"/>
      </w:pPr>
    </w:p>
    <w:p>
      <w:pPr>
        <w:pStyle w:val="Heading1"/>
      </w:pPr>
      <w:r>
        <w:t>7. Commercial summary  [DRAFT - awaiting deal desk]</w:t>
      </w:r>
    </w:p>
    <w:p>
      <w:r>
        <w:rPr/>
        <w:t xml:space="preserve">Indicative total programme value: </w:t>
      </w:r>
      <w:r>
        <w:rPr>
          <w:b/>
        </w:rPr>
        <w:t>$5.8M</w:t>
      </w:r>
      <w:r>
        <w:rPr/>
        <w:t xml:space="preserve"> over 22 months (time and materials with fixed-price release 1 option under evaluation). Partner incentives (AWS MAP, up to $120,000) are applied after award and are not netted from the price shown.</w:t>
      </w:r>
    </w:p>
    <w:p>
      <w:pPr>
        <w:pStyle w:val="Heading1"/>
      </w:pPr>
      <w:r>
        <w:t>8. Assumptions</w:t>
      </w:r>
    </w:p>
    <w:p>
      <w:pPr>
        <w:pStyle w:val="ListNumber"/>
        <w:spacing w:after="40"/>
      </w:pPr>
      <w:r>
        <w:rPr/>
        <w:t>Calder provides SMEs for 3 lines of business at 50% allocation during design.</w:t>
      </w:r>
    </w:p>
    <w:p>
      <w:pPr>
        <w:pStyle w:val="ListNumber"/>
        <w:spacing w:after="40"/>
      </w:pPr>
      <w:r>
        <w:rPr/>
        <w:t>Guidewire Cloud subscription is contracted directly between Calder and Guidewire.</w:t>
      </w:r>
    </w:p>
    <w:p>
      <w:pPr>
        <w:pStyle w:val="ListNumber"/>
        <w:spacing w:after="40"/>
      </w:pPr>
      <w:r>
        <w:rPr/>
        <w:t>Legacy data extracts are delivered in agreed formats within 10 business days of request.</w:t>
      </w:r>
    </w:p>
    <w:p>
      <w:pPr>
        <w:pStyle w:val="ListNumber"/>
        <w:spacing w:after="40"/>
      </w:pPr>
      <w:r>
        <w:rPr/>
        <w:t>Calder's Snowflake environment is available for the Guidewire Data Platform connector by month 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Calder Insurance - Claims Modernisation RFP response</w:t>
    </w:r>
    <w:r>
      <w:tab/>
      <w:tab/>
    </w:r>
    <w:r>
      <w:rPr>
        <w:b/>
        <w:color w:val="C0392B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 Modernisation Programme - Response to RFP CI-2026-014</dc:title>
  <dc:subject>Prepared for Calder Insurance  |  DRAFT v0.6 for internal review (pricing pending deal desk)</dc:subject>
  <dc:creator>Anita Rao</dc:creator>
  <cp:keywords>Enterprise IQ</cp:keywords>
  <dc:description>Fictitious data for testing - Enterprise IQ test corpus</dc:description>
  <cp:lastModifiedBy>Anita Rao</cp:lastModifiedBy>
  <cp:revision>1</cp:revision>
  <dcterms:created xsi:type="dcterms:W3CDTF">2026-10-07T09:00:00Z</dcterms:created>
  <dcterms:modified xsi:type="dcterms:W3CDTF">2013-12-23T23:15:00Z</dcterms:modified>
  <cp:category>Confidential</cp:category>
</cp:coreProperties>
</file>