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2A4A"/>
          <w:sz w:val="40"/>
        </w:rPr>
        <w:t>Analyst and Market Research Digest - Q3 2026</w:t>
      </w:r>
    </w:p>
    <w:p>
      <w:r>
        <w:rPr>
          <w:color w:val="0F7C90"/>
          <w:sz w:val="23"/>
        </w:rPr>
        <w:t>What we read, and what it means for what we build and how we position</w:t>
      </w:r>
    </w:p>
    <w:tbl>
      <w:tblPr>
        <w:tblStyle w:val="TableGrid"/>
        <w:tblW w:type="dxa" w:w="9647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1"/>
        <w:gridCol w:w="3032"/>
        <w:gridCol w:w="1791"/>
        <w:gridCol w:w="3032"/>
      </w:tblGrid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Presales &amp; Solutions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Solutions, GTM, Alliances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Sources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Gartner, Forrester and ISG subscriptions; analyst inquiries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Next issue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January 2027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48"/>
      </w:tblGrid>
      <w:tr>
        <w:tc>
          <w:tcPr>
            <w:tcW w:type="dxa" w:w="9648"/>
            <w:shd w:val="clear" w:color="auto" w:fill="FFF0CC"/>
          </w:tcPr>
          <w:p>
            <w:r/>
            <w:r>
              <w:rPr>
                <w:b/>
                <w:color w:val="0F7C90"/>
              </w:rPr>
              <w:t xml:space="preserve">Note  </w:t>
            </w:r>
            <w:r>
              <w:rPr/>
              <w:t>Summaries below are internal paraphrases written for this test corpus. They are illustrative and are not quotations from, or findings of, any analyst firm.</w:t>
            </w:r>
          </w:p>
        </w:tc>
      </w:tr>
    </w:tbl>
    <w:p>
      <w:pPr>
        <w:spacing w:after="40"/>
      </w:pPr>
    </w:p>
    <w:p>
      <w:pPr>
        <w:pStyle w:val="Heading1"/>
      </w:pPr>
      <w:r>
        <w:t>1. Data platforms: consolidation is now a CFO topic</w:t>
      </w:r>
    </w:p>
    <w:p>
      <w:r>
        <w:rPr>
          <w:b/>
        </w:rPr>
        <w:t>What we read (Gartner inquiry notes, Forrester data platform research):</w:t>
      </w:r>
      <w:r>
        <w:rPr/>
        <w:t xml:space="preserve"> buyers are consolidating warehouses onto lakehouse platforms primarily for cost, with governance and AI-readiness as secondary drivers. Banks cite regulatory lineage as the trigger.</w:t>
      </w:r>
    </w:p>
    <w:p>
      <w:pPr>
        <w:pStyle w:val="ListBullet"/>
        <w:spacing w:after="40"/>
      </w:pPr>
      <w:r>
        <w:rPr>
          <w:b/>
        </w:rPr>
        <w:t>Build:</w:t>
      </w:r>
      <w:r>
        <w:rPr/>
        <w:t xml:space="preserve"> finish the Fiserv DNA connector (GAP-038) and package the Teradata Exit Toolkit as a fixed-fee assessment.</w:t>
      </w:r>
    </w:p>
    <w:p>
      <w:pPr>
        <w:pStyle w:val="ListBullet"/>
        <w:spacing w:after="40"/>
      </w:pPr>
      <w:r>
        <w:rPr>
          <w:b/>
        </w:rPr>
        <w:t>Position:</w:t>
      </w:r>
      <w:r>
        <w:rPr/>
        <w:t xml:space="preserve"> lead banking proposals with run-cost savings (Woodgrove model: 31%) before architecture.</w:t>
      </w:r>
    </w:p>
    <w:p>
      <w:pPr>
        <w:pStyle w:val="Heading1"/>
      </w:pPr>
      <w:r>
        <w:t>2. GenAI services: from pilots to governed production</w:t>
      </w:r>
    </w:p>
    <w:p>
      <w:r>
        <w:rPr>
          <w:b/>
        </w:rPr>
        <w:t>What we read (ISG provider lens notes, Forrester service provider research):</w:t>
      </w:r>
      <w:r>
        <w:rPr/>
        <w:t xml:space="preserve"> clients are moving GenAI from pilots to production in service desks and member/customer service, and evaluate providers on governance, evaluation methods and change management more than on model choice.</w:t>
      </w:r>
    </w:p>
    <w:p>
      <w:pPr>
        <w:pStyle w:val="ListBullet"/>
        <w:spacing w:after="40"/>
      </w:pPr>
      <w:r>
        <w:rPr>
          <w:b/>
        </w:rPr>
        <w:t>Build:</w:t>
      </w:r>
      <w:r>
        <w:rPr/>
        <w:t xml:space="preserve"> add evaluation dashboards to the RAG Guardrails Kit; publish a responsible AI one-pager (RP-15).</w:t>
      </w:r>
    </w:p>
    <w:p>
      <w:pPr>
        <w:pStyle w:val="ListBullet"/>
        <w:spacing w:after="40"/>
      </w:pPr>
      <w:r>
        <w:rPr>
          <w:b/>
        </w:rPr>
        <w:t>Position:</w:t>
      </w:r>
      <w:r>
        <w:rPr/>
        <w:t xml:space="preserve"> 'governed GenAI on your data' - anchor on Woodgrove service desk agent assist.</w:t>
      </w:r>
    </w:p>
    <w:p>
      <w:pPr>
        <w:pStyle w:val="Heading1"/>
      </w:pPr>
      <w:r>
        <w:t>3. Managed services: price pressure and automation credits</w:t>
      </w:r>
    </w:p>
    <w:p>
      <w:r>
        <w:rPr>
          <w:b/>
        </w:rPr>
        <w:t>What we read (ISG sourcing index commentary):</w:t>
      </w:r>
      <w:r>
        <w:rPr/>
        <w:t xml:space="preserve"> AMS renewals are being re-competed with 10-20% price expectations, offset by automation commitments. Offshore-only providers are winning price-led renewals.</w:t>
      </w:r>
    </w:p>
    <w:p>
      <w:pPr>
        <w:pStyle w:val="ListBullet"/>
        <w:spacing w:after="40"/>
      </w:pPr>
      <w:r>
        <w:rPr>
          <w:b/>
        </w:rPr>
        <w:t>Build:</w:t>
      </w:r>
      <w:r>
        <w:rPr/>
        <w:t xml:space="preserve"> productise the productivity credit model (Contoso) for all AMS renewals.</w:t>
      </w:r>
    </w:p>
    <w:p>
      <w:pPr>
        <w:pStyle w:val="ListBullet"/>
        <w:spacing w:after="40"/>
      </w:pPr>
      <w:r>
        <w:rPr>
          <w:b/>
        </w:rPr>
        <w:t>Position:</w:t>
      </w:r>
      <w:r>
        <w:rPr/>
        <w:t xml:space="preserve"> Northwind and Wide World renewals should lead with automation-funded price reductions.</w:t>
      </w:r>
    </w:p>
    <w:p>
      <w:pPr>
        <w:pStyle w:val="Heading1"/>
      </w:pPr>
      <w:r>
        <w:t>4. Insurance core platforms: SI selection is the bottleneck</w:t>
      </w:r>
    </w:p>
    <w:p>
      <w:r>
        <w:rPr>
          <w:b/>
        </w:rPr>
        <w:t>What we read (Gartner and Forrester insurance research notes):</w:t>
      </w:r>
      <w:r>
        <w:rPr/>
        <w:t xml:space="preserve"> insurers selecting Guidewire Cloud report systems integrator capacity as their main risk, and favour SIs with conversion factories and automation accelerators.</w:t>
      </w:r>
    </w:p>
    <w:p>
      <w:pPr>
        <w:pStyle w:val="ListBullet"/>
        <w:spacing w:after="40"/>
      </w:pPr>
      <w:r>
        <w:rPr>
          <w:b/>
        </w:rPr>
        <w:t>Build:</w:t>
      </w:r>
      <w:r>
        <w:rPr/>
        <w:t xml:space="preserve"> document the claims conversion factory (four mock conversions, reconciliation tooling).</w:t>
      </w:r>
    </w:p>
    <w:p>
      <w:pPr>
        <w:pStyle w:val="ListBullet"/>
        <w:spacing w:after="40"/>
      </w:pPr>
      <w:r>
        <w:rPr>
          <w:b/>
        </w:rPr>
        <w:t>Position:</w:t>
      </w:r>
      <w:r>
        <w:rPr/>
        <w:t xml:space="preserve"> Calder response leads with 'insurance automation built in' and conversion discipline.</w:t>
      </w:r>
    </w:p>
    <w:p>
      <w:pPr>
        <w:pStyle w:val="Heading1"/>
      </w:pPr>
      <w:r>
        <w:t>5. Partner ecosystems</w:t>
      </w:r>
    </w:p>
    <w:p>
      <w:r>
        <w:rPr/>
        <w:t>Analyst sourcing studies increasingly weight top-tier partner status. Our Databricks and Snowflake 'Select' tiers cost us at least one bid in FY2026 (BID-0569). Alliances is targeting Databricks Elite by FY27 H2.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 xml:space="preserve">Fictitious data for testing - Enterprise IQ test corpus  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Visionet  |  Analyst and Market Research Digest - Q3 2026</w:t>
    </w:r>
    <w:r>
      <w:tab/>
      <w:tab/>
    </w:r>
    <w:r>
      <w:rPr>
        <w:b/>
        <w:color w:val="6B7280"/>
        <w:sz w:val="16"/>
      </w:rPr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eastAsiaTheme="majorEastAsia" w:ascii="Calibri" w:hAnsi="Calibri" w:cs="Calibri"/>
      <w:b/>
      <w:bCs/>
      <w:color w:val="0F7C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Theme="majorEastAsia" w:ascii="Calibri" w:hAnsi="Calibri" w:cs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Analyst and Market Research Digest - Q3 2026</dc:title>
  <dc:subject>What we read, and what it means for what we build and how we position</dc:subject>
  <dc:creator>Ravi Shankar</dc:creator>
  <cp:keywords>Enterprise IQ</cp:keywords>
  <dc:description>Fictitious data for testing - Enterprise IQ test corpus</dc:description>
  <cp:lastModifiedBy>Ravi Shankar</cp:lastModifiedBy>
  <cp:revision>1</cp:revision>
  <dcterms:created xsi:type="dcterms:W3CDTF">2026-09-30T09:00:00Z</dcterms:created>
  <dcterms:modified xsi:type="dcterms:W3CDTF">2013-12-23T23:15:00Z</dcterms:modified>
  <cp:category>Internal</cp:category>
</cp:coreProperties>
</file>