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Litware Insurance: 94% straight-through FNOL document classification</w:t>
      </w:r>
    </w:p>
    <w:p>
      <w:r>
        <w:rPr>
          <w:color w:val="0F7C90"/>
          <w:sz w:val="23"/>
        </w:rPr>
        <w:t>Case study draft  |  BFSI (Insurance)  |  Intelligent Document Processing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Draft - client approval pending (logo use approved, quotes pending)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Offering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Intelligent Document Processing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Account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Litware Insurance (ACC-1005)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Engagement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Claims intake IDP pilot and rollout (BID-0582, Dec 2025)</w:t>
            </w:r>
          </w:p>
        </w:tc>
      </w:tr>
    </w:tbl>
    <w:p>
      <w:pPr>
        <w:spacing w:after="40"/>
      </w:pPr>
    </w:p>
    <w:p>
      <w:pPr>
        <w:pStyle w:val="Heading1"/>
      </w:pPr>
      <w:r>
        <w:t>Challenge</w:t>
      </w:r>
    </w:p>
    <w:p>
      <w:r>
        <w:rPr/>
        <w:t>Litware's claims intake team keyed 38,000 first-notice-of-loss (FNOL) documents a month by hand: police reports, repair estimates, photos and medical bills. Average time to set up a claim was 2.4 days.</w:t>
      </w:r>
    </w:p>
    <w:p>
      <w:pPr>
        <w:pStyle w:val="Heading1"/>
      </w:pPr>
      <w:r>
        <w:t>Solution</w:t>
      </w:r>
    </w:p>
    <w:p>
      <w:pPr>
        <w:pStyle w:val="ListBullet"/>
        <w:spacing w:after="40"/>
      </w:pPr>
      <w:r>
        <w:rPr/>
        <w:t>IDP-FNOL v3 accelerator on Azure AI Document Intelligence, trained on 12,000 Litware documents.</w:t>
      </w:r>
    </w:p>
    <w:p>
      <w:pPr>
        <w:pStyle w:val="ListBullet"/>
        <w:spacing w:after="40"/>
      </w:pPr>
      <w:r>
        <w:rPr/>
        <w:t>Confidence-based routing: high-confidence documents go straight to the claims system; others to a review queue.</w:t>
      </w:r>
    </w:p>
    <w:p>
      <w:pPr>
        <w:pStyle w:val="ListBullet"/>
        <w:spacing w:after="40"/>
      </w:pPr>
      <w:r>
        <w:rPr/>
        <w:t>Integration with Guidewire PolicyCenter for policy validation.</w:t>
      </w:r>
    </w:p>
    <w:p>
      <w:pPr>
        <w:pStyle w:val="Heading1"/>
      </w:pPr>
      <w:r>
        <w:t>Results (first 6 months)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134"/>
        <w:gridCol w:w="2067"/>
        <w:gridCol w:w="3445"/>
      </w:tblGrid>
      <w:tr>
        <w:trPr>
          <w:tblHeader w:val="true"/>
        </w:trPr>
        <w:tc>
          <w:tcPr>
            <w:tcW w:type="dxa" w:w="413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067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344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4135"/>
          </w:tcPr>
          <w:p>
            <w:r/>
            <w:r>
              <w:rPr>
                <w:sz w:val="18"/>
              </w:rPr>
              <w:t>Documents classified straight-through</w:t>
            </w:r>
          </w:p>
        </w:tc>
        <w:tc>
          <w:tcPr>
            <w:tcW w:type="dxa" w:w="2067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3446"/>
          </w:tcPr>
          <w:p>
            <w:r/>
            <w:r>
              <w:rPr>
                <w:sz w:val="18"/>
              </w:rPr>
              <w:t>94%</w:t>
            </w:r>
          </w:p>
        </w:tc>
      </w:tr>
      <w:tr>
        <w:tc>
          <w:tcPr>
            <w:tcW w:type="dxa" w:w="4135"/>
            <w:shd w:val="clear" w:color="auto" w:fill="F3F5F8"/>
          </w:tcPr>
          <w:p>
            <w:r/>
            <w:r>
              <w:rPr>
                <w:sz w:val="18"/>
              </w:rPr>
              <w:t>Claim set-up time</w:t>
            </w:r>
          </w:p>
        </w:tc>
        <w:tc>
          <w:tcPr>
            <w:tcW w:type="dxa" w:w="2067"/>
            <w:shd w:val="clear" w:color="auto" w:fill="F3F5F8"/>
          </w:tcPr>
          <w:p>
            <w:r/>
            <w:r>
              <w:rPr>
                <w:sz w:val="18"/>
              </w:rPr>
              <w:t>2.4 days</w:t>
            </w:r>
          </w:p>
        </w:tc>
        <w:tc>
          <w:tcPr>
            <w:tcW w:type="dxa" w:w="3446"/>
            <w:shd w:val="clear" w:color="auto" w:fill="F3F5F8"/>
          </w:tcPr>
          <w:p>
            <w:r/>
            <w:r>
              <w:rPr>
                <w:sz w:val="18"/>
              </w:rPr>
              <w:t>4.5 hours</w:t>
            </w:r>
          </w:p>
        </w:tc>
      </w:tr>
      <w:tr>
        <w:tc>
          <w:tcPr>
            <w:tcW w:type="dxa" w:w="4135"/>
          </w:tcPr>
          <w:p>
            <w:r/>
            <w:r>
              <w:rPr>
                <w:sz w:val="18"/>
              </w:rPr>
              <w:t>Intake team effort</w:t>
            </w:r>
          </w:p>
        </w:tc>
        <w:tc>
          <w:tcPr>
            <w:tcW w:type="dxa" w:w="2067"/>
          </w:tcPr>
          <w:p>
            <w:r/>
            <w:r>
              <w:rPr>
                <w:sz w:val="18"/>
              </w:rPr>
              <w:t>21 FTE</w:t>
            </w:r>
          </w:p>
        </w:tc>
        <w:tc>
          <w:tcPr>
            <w:tcW w:type="dxa" w:w="3446"/>
          </w:tcPr>
          <w:p>
            <w:r/>
            <w:r>
              <w:rPr>
                <w:sz w:val="18"/>
              </w:rPr>
              <w:t>9 FTE (redeployed to complex claims)</w:t>
            </w:r>
          </w:p>
        </w:tc>
      </w:tr>
    </w:tbl>
    <w:p>
      <w:pPr>
        <w:spacing w:after="40"/>
      </w:pPr>
    </w:p>
    <w:p>
      <w:pPr>
        <w:pStyle w:val="Heading1"/>
      </w:pPr>
      <w:r>
        <w:t>Why it matters for other insurers</w:t>
      </w:r>
    </w:p>
    <w:p>
      <w:r>
        <w:rPr/>
        <w:t>The same accelerator is proposed for Calder Insurance (BID-0618) and the Litware underwriting intake extension (OPP-24150).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Litware Insurance: 94% straight-through FNOL document classification</w:t>
    </w:r>
    <w:r>
      <w:tab/>
      <w:tab/>
    </w:r>
    <w:r>
      <w:rPr>
        <w:b/>
        <w:color w:val="6B7280"/>
        <w:sz w:val="16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Litware Insurance: 94% straight-through FNOL document classification</dc:title>
  <dc:subject>Case study draft  |  BFSI (Insurance)  |  Intelligent Document Processing</dc:subject>
  <dc:creator>Ravi Shankar</dc:creator>
  <cp:keywords>Enterprise IQ</cp:keywords>
  <dc:description>Fictitious data for testing - Enterprise IQ test corpus</dc:description>
  <cp:lastModifiedBy>Ravi Shankar</cp:lastModifiedBy>
  <cp:revision>1</cp:revision>
  <dcterms:created xsi:type="dcterms:W3CDTF">2026-07-14T09:00:00Z</dcterms:created>
  <dcterms:modified xsi:type="dcterms:W3CDTF">2013-12-23T23:15:00Z</dcterms:modified>
  <cp:category>Internal</cp:category>
</cp:coreProperties>
</file>