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B2A4A"/>
          <w:sz w:val="40"/>
        </w:rPr>
        <w:t>Cloud Data Platform - Reference Architecture for Banking</w:t>
      </w:r>
    </w:p>
    <w:p>
      <w:r>
        <w:rPr>
          <w:color w:val="0F7C90"/>
          <w:sz w:val="23"/>
        </w:rPr>
        <w:t>Azure Databricks lakehouse with Unity Catalog  |  Version 4.1</w:t>
      </w:r>
    </w:p>
    <w:tbl>
      <w:tblPr>
        <w:tblStyle w:val="TableGrid"/>
        <w:tblW w:type="dxa" w:w="9647"/>
        <w:tblLook w:firstColumn="1" w:firstRow="1" w:lastColumn="0" w:lastRow="0" w:noHBand="0" w:noVBand="1" w:val="04A0"/>
        <w:tblLayout w:type="fixed"/>
        <w:tblCellMar>
          <w:top w:w="40" w:type="dxa"/>
          <w:left w:w="80" w:type="dxa"/>
          <w:bottom w:w="40" w:type="dxa"/>
          <w:right w:w="80" w:type="dxa"/>
        </w:tblCellMar>
      </w:tblPr>
      <w:tblGrid>
        <w:gridCol w:w="1791"/>
        <w:gridCol w:w="3032"/>
        <w:gridCol w:w="1791"/>
        <w:gridCol w:w="3032"/>
      </w:tblGrid>
      <w:tr>
        <w:tc>
          <w:tcPr>
            <w:tcW w:type="dxa" w:w="1792"/>
            <w:shd w:val="clear" w:color="auto" w:fill="F3F5F8"/>
          </w:tcPr>
          <w:p>
            <w:r/>
            <w:r>
              <w:rPr>
                <w:b/>
                <w:sz w:val="18"/>
              </w:rPr>
              <w:t>Offering</w:t>
            </w:r>
          </w:p>
        </w:tc>
        <w:tc>
          <w:tcPr>
            <w:tcW w:type="dxa" w:w="3032"/>
          </w:tcPr>
          <w:p>
            <w:r/>
            <w:r>
              <w:rPr>
                <w:sz w:val="18"/>
              </w:rPr>
              <w:t>Cloud Data Platform (Azure Databricks)</w:t>
            </w:r>
          </w:p>
        </w:tc>
        <w:tc>
          <w:tcPr>
            <w:tcW w:type="dxa" w:w="1792"/>
            <w:shd w:val="clear" w:color="auto" w:fill="F3F5F8"/>
          </w:tcPr>
          <w:p>
            <w:r/>
            <w:r>
              <w:rPr>
                <w:b/>
                <w:sz w:val="18"/>
              </w:rPr>
              <w:t>Partners</w:t>
            </w:r>
          </w:p>
        </w:tc>
        <w:tc>
          <w:tcPr>
            <w:tcW w:type="dxa" w:w="3032"/>
          </w:tcPr>
          <w:p>
            <w:r/>
            <w:r>
              <w:rPr>
                <w:sz w:val="18"/>
              </w:rPr>
              <w:t>Microsoft, Databricks</w:t>
            </w:r>
          </w:p>
        </w:tc>
      </w:tr>
      <w:tr>
        <w:tc>
          <w:tcPr>
            <w:tcW w:type="dxa" w:w="1792"/>
            <w:shd w:val="clear" w:color="auto" w:fill="F3F5F8"/>
          </w:tcPr>
          <w:p>
            <w:r/>
            <w:r>
              <w:rPr>
                <w:b/>
                <w:sz w:val="18"/>
              </w:rPr>
              <w:t>Owner</w:t>
            </w:r>
          </w:p>
        </w:tc>
        <w:tc>
          <w:tcPr>
            <w:tcW w:type="dxa" w:w="3032"/>
          </w:tcPr>
          <w:p>
            <w:r/>
            <w:r>
              <w:rPr>
                <w:sz w:val="18"/>
              </w:rPr>
              <w:t>Mei Tanaka</w:t>
            </w:r>
          </w:p>
        </w:tc>
        <w:tc>
          <w:tcPr>
            <w:tcW w:type="dxa" w:w="1792"/>
            <w:shd w:val="clear" w:color="auto" w:fill="F3F5F8"/>
          </w:tcPr>
          <w:p>
            <w:r/>
            <w:r>
              <w:rPr>
                <w:b/>
                <w:sz w:val="18"/>
              </w:rPr>
              <w:t>Review date</w:t>
            </w:r>
          </w:p>
        </w:tc>
        <w:tc>
          <w:tcPr>
            <w:tcW w:type="dxa" w:w="3032"/>
          </w:tcPr>
          <w:p>
            <w:r/>
            <w:r>
              <w:rPr>
                <w:sz w:val="18"/>
              </w:rPr>
              <w:t>28 Feb 2027</w:t>
            </w:r>
          </w:p>
        </w:tc>
      </w:tr>
      <w:tr>
        <w:tc>
          <w:tcPr>
            <w:tcW w:type="dxa" w:w="1792"/>
            <w:shd w:val="clear" w:color="auto" w:fill="F3F5F8"/>
          </w:tcPr>
          <w:p>
            <w:r/>
            <w:r>
              <w:rPr>
                <w:b/>
                <w:sz w:val="18"/>
              </w:rPr>
              <w:t>Used in</w:t>
            </w:r>
          </w:p>
        </w:tc>
        <w:tc>
          <w:tcPr>
            <w:tcW w:type="dxa" w:w="3032"/>
          </w:tcPr>
          <w:p>
            <w:r/>
            <w:r>
              <w:rPr>
                <w:sz w:val="18"/>
              </w:rPr>
              <w:t>Woodgrove Bank (BID-0612, PRG-2004 POC); Meridian Bank (BID-0614)</w:t>
            </w:r>
          </w:p>
        </w:tc>
        <w:tc>
          <w:tcPr>
            <w:tcW w:type="dxa" w:w="1792"/>
          </w:tcPr>
          <w:p/>
        </w:tc>
        <w:tc>
          <w:tcPr>
            <w:tcW w:type="dxa" w:w="3032"/>
          </w:tcPr>
          <w:p/>
        </w:tc>
      </w:tr>
    </w:tbl>
    <w:p>
      <w:pPr>
        <w:spacing w:after="40"/>
      </w:pPr>
    </w:p>
    <w:p>
      <w:pPr>
        <w:pStyle w:val="Heading1"/>
      </w:pPr>
      <w:r>
        <w:t>1. Purpose</w:t>
      </w:r>
    </w:p>
    <w:p>
      <w:r>
        <w:rPr/>
        <w:t>This reference architecture is the starting point for banking data platform proposals. It replaces multiple warehouses (typically Teradata, Exadata and Hadoop) with one governed lakehouse, and meets BCBS 239 risk data aggregation principles through automated lineage.</w:t>
      </w:r>
    </w:p>
    <w:p>
      <w:pPr>
        <w:pStyle w:val="Heading1"/>
      </w:pPr>
      <w:r>
        <w:t>2. Layers</w:t>
      </w:r>
    </w:p>
    <w:tbl>
      <w:tblPr>
        <w:tblStyle w:val="TableGrid"/>
        <w:tblW w:type="dxa" w:w="9647"/>
        <w:jc w:val="center"/>
        <w:tblLook w:firstColumn="1" w:firstRow="1" w:lastColumn="0" w:lastRow="0" w:noHBand="0" w:noVBand="1" w:val="04A0"/>
        <w:tblLayout w:type="fixed"/>
        <w:tblCellMar>
          <w:top w:w="60" w:type="dxa"/>
          <w:left w:w="90" w:type="dxa"/>
          <w:bottom w:w="60" w:type="dxa"/>
          <w:right w:w="90" w:type="dxa"/>
        </w:tblCellMar>
      </w:tblPr>
      <w:tblGrid>
        <w:gridCol w:w="1587"/>
        <w:gridCol w:w="3908"/>
        <w:gridCol w:w="4152"/>
      </w:tblGrid>
      <w:tr>
        <w:trPr>
          <w:tblHeader w:val="true"/>
        </w:trPr>
        <w:tc>
          <w:tcPr>
            <w:tcW w:type="dxa" w:w="1588"/>
            <w:shd w:val="clear" w:color="auto" w:fill="1B2A4A"/>
          </w:tcPr>
          <w:p>
            <w:r/>
            <w:r>
              <w:rPr>
                <w:b/>
                <w:color w:val="FFFFFF"/>
                <w:sz w:val="18"/>
              </w:rPr>
              <w:t>Layer</w:t>
            </w:r>
          </w:p>
        </w:tc>
        <w:tc>
          <w:tcPr>
            <w:tcW w:type="dxa" w:w="3908"/>
            <w:shd w:val="clear" w:color="auto" w:fill="1B2A4A"/>
          </w:tcPr>
          <w:p>
            <w:r/>
            <w:r>
              <w:rPr>
                <w:b/>
                <w:color w:val="FFFFFF"/>
                <w:sz w:val="18"/>
              </w:rPr>
              <w:t>Components</w:t>
            </w:r>
          </w:p>
        </w:tc>
        <w:tc>
          <w:tcPr>
            <w:tcW w:type="dxa" w:w="4152"/>
            <w:shd w:val="clear" w:color="auto" w:fill="1B2A4A"/>
          </w:tcPr>
          <w:p>
            <w:r/>
            <w:r>
              <w:rPr>
                <w:b/>
                <w:color w:val="FFFFFF"/>
                <w:sz w:val="18"/>
              </w:rPr>
              <w:t>Design decisions</w:t>
            </w:r>
          </w:p>
        </w:tc>
      </w:tr>
      <w:tr>
        <w:tc>
          <w:tcPr>
            <w:tcW w:type="dxa" w:w="1588"/>
          </w:tcPr>
          <w:p>
            <w:r/>
            <w:r>
              <w:rPr>
                <w:sz w:val="18"/>
              </w:rPr>
              <w:t>Ingestion</w:t>
            </w:r>
          </w:p>
        </w:tc>
        <w:tc>
          <w:tcPr>
            <w:tcW w:type="dxa" w:w="3908"/>
          </w:tcPr>
          <w:p>
            <w:r/>
            <w:r>
              <w:rPr>
                <w:sz w:val="18"/>
              </w:rPr>
              <w:t>Azure Data Factory, Auto Loader, Kafka (Event Hubs) for card events</w:t>
            </w:r>
          </w:p>
        </w:tc>
        <w:tc>
          <w:tcPr>
            <w:tcW w:type="dxa" w:w="4152"/>
          </w:tcPr>
          <w:p>
            <w:r/>
            <w:r>
              <w:rPr>
                <w:sz w:val="18"/>
              </w:rPr>
              <w:t>CDC from core banking via Fiserv extracts; streaming for fraud features</w:t>
            </w:r>
          </w:p>
        </w:tc>
      </w:tr>
      <w:tr>
        <w:tc>
          <w:tcPr>
            <w:tcW w:type="dxa" w:w="1588"/>
            <w:shd w:val="clear" w:color="auto" w:fill="F3F5F8"/>
          </w:tcPr>
          <w:p>
            <w:r/>
            <w:r>
              <w:rPr>
                <w:sz w:val="18"/>
              </w:rPr>
              <w:t>Storage</w:t>
            </w:r>
          </w:p>
        </w:tc>
        <w:tc>
          <w:tcPr>
            <w:tcW w:type="dxa" w:w="3908"/>
            <w:shd w:val="clear" w:color="auto" w:fill="F3F5F8"/>
          </w:tcPr>
          <w:p>
            <w:r/>
            <w:r>
              <w:rPr>
                <w:sz w:val="18"/>
              </w:rPr>
              <w:t>ADLS Gen2, Delta Lake (bronze / silver / gold)</w:t>
            </w:r>
          </w:p>
        </w:tc>
        <w:tc>
          <w:tcPr>
            <w:tcW w:type="dxa" w:w="4152"/>
            <w:shd w:val="clear" w:color="auto" w:fill="F3F5F8"/>
          </w:tcPr>
          <w:p>
            <w:r/>
            <w:r>
              <w:rPr>
                <w:sz w:val="18"/>
              </w:rPr>
              <w:t>Separate storage accounts per data domain</w:t>
            </w:r>
          </w:p>
        </w:tc>
      </w:tr>
      <w:tr>
        <w:tc>
          <w:tcPr>
            <w:tcW w:type="dxa" w:w="1588"/>
          </w:tcPr>
          <w:p>
            <w:r/>
            <w:r>
              <w:rPr>
                <w:sz w:val="18"/>
              </w:rPr>
              <w:t>Governance</w:t>
            </w:r>
          </w:p>
        </w:tc>
        <w:tc>
          <w:tcPr>
            <w:tcW w:type="dxa" w:w="3908"/>
          </w:tcPr>
          <w:p>
            <w:r/>
            <w:r>
              <w:rPr>
                <w:sz w:val="18"/>
              </w:rPr>
              <w:t>Unity Catalog, Microsoft Purview</w:t>
            </w:r>
          </w:p>
        </w:tc>
        <w:tc>
          <w:tcPr>
            <w:tcW w:type="dxa" w:w="4152"/>
          </w:tcPr>
          <w:p>
            <w:r/>
            <w:r>
              <w:rPr>
                <w:sz w:val="18"/>
              </w:rPr>
              <w:t>Column-level lineage for regulatory data elements</w:t>
            </w:r>
          </w:p>
        </w:tc>
      </w:tr>
      <w:tr>
        <w:tc>
          <w:tcPr>
            <w:tcW w:type="dxa" w:w="1588"/>
            <w:shd w:val="clear" w:color="auto" w:fill="F3F5F8"/>
          </w:tcPr>
          <w:p>
            <w:r/>
            <w:r>
              <w:rPr>
                <w:sz w:val="18"/>
              </w:rPr>
              <w:t>Processing</w:t>
            </w:r>
          </w:p>
        </w:tc>
        <w:tc>
          <w:tcPr>
            <w:tcW w:type="dxa" w:w="3908"/>
            <w:shd w:val="clear" w:color="auto" w:fill="F3F5F8"/>
          </w:tcPr>
          <w:p>
            <w:r/>
            <w:r>
              <w:rPr>
                <w:sz w:val="18"/>
              </w:rPr>
              <w:t>Databricks SQL, Jobs, Delta Live Tables</w:t>
            </w:r>
          </w:p>
        </w:tc>
        <w:tc>
          <w:tcPr>
            <w:tcW w:type="dxa" w:w="4152"/>
            <w:shd w:val="clear" w:color="auto" w:fill="F3F5F8"/>
          </w:tcPr>
          <w:p>
            <w:r/>
            <w:r>
              <w:rPr>
                <w:sz w:val="18"/>
              </w:rPr>
              <w:t>Serverless SQL warehouses for BI</w:t>
            </w:r>
          </w:p>
        </w:tc>
      </w:tr>
      <w:tr>
        <w:tc>
          <w:tcPr>
            <w:tcW w:type="dxa" w:w="1588"/>
          </w:tcPr>
          <w:p>
            <w:r/>
            <w:r>
              <w:rPr>
                <w:sz w:val="18"/>
              </w:rPr>
              <w:t>Consumption</w:t>
            </w:r>
          </w:p>
        </w:tc>
        <w:tc>
          <w:tcPr>
            <w:tcW w:type="dxa" w:w="3908"/>
          </w:tcPr>
          <w:p>
            <w:r/>
            <w:r>
              <w:rPr>
                <w:sz w:val="18"/>
              </w:rPr>
              <w:t>Power BI, Databricks SQL, ML serving</w:t>
            </w:r>
          </w:p>
        </w:tc>
        <w:tc>
          <w:tcPr>
            <w:tcW w:type="dxa" w:w="4152"/>
          </w:tcPr>
          <w:p>
            <w:r/>
            <w:r>
              <w:rPr>
                <w:sz w:val="18"/>
              </w:rPr>
              <w:t>Row-level security mapped to Entra ID groups</w:t>
            </w:r>
          </w:p>
        </w:tc>
      </w:tr>
      <w:tr>
        <w:tc>
          <w:tcPr>
            <w:tcW w:type="dxa" w:w="1588"/>
            <w:shd w:val="clear" w:color="auto" w:fill="F3F5F8"/>
          </w:tcPr>
          <w:p>
            <w:r/>
            <w:r>
              <w:rPr>
                <w:sz w:val="18"/>
              </w:rPr>
              <w:t>Security</w:t>
            </w:r>
          </w:p>
        </w:tc>
        <w:tc>
          <w:tcPr>
            <w:tcW w:type="dxa" w:w="3908"/>
            <w:shd w:val="clear" w:color="auto" w:fill="F3F5F8"/>
          </w:tcPr>
          <w:p>
            <w:r/>
            <w:r>
              <w:rPr>
                <w:sz w:val="18"/>
              </w:rPr>
              <w:t>Private endpoints, customer-managed keys, Sentinel</w:t>
            </w:r>
          </w:p>
        </w:tc>
        <w:tc>
          <w:tcPr>
            <w:tcW w:type="dxa" w:w="4152"/>
            <w:shd w:val="clear" w:color="auto" w:fill="F3F5F8"/>
          </w:tcPr>
          <w:p>
            <w:r/>
            <w:r>
              <w:rPr>
                <w:sz w:val="18"/>
              </w:rPr>
              <w:t>No public network paths; CISO sign-off pattern</w:t>
            </w:r>
          </w:p>
        </w:tc>
      </w:tr>
    </w:tbl>
    <w:p>
      <w:pPr>
        <w:spacing w:after="40"/>
      </w:pPr>
    </w:p>
    <w:p>
      <w:pPr>
        <w:pStyle w:val="Heading1"/>
      </w:pPr>
      <w:r>
        <w:t>3. Migration pattern: Teradata exit</w:t>
      </w:r>
    </w:p>
    <w:p>
      <w:pPr>
        <w:pStyle w:val="ListNumber"/>
        <w:spacing w:after="40"/>
      </w:pPr>
      <w:r>
        <w:rPr/>
        <w:t>Inventory and classify Teradata objects with the Teradata Exit Toolkit (typically 6,000-12,000 objects).</w:t>
      </w:r>
    </w:p>
    <w:p>
      <w:pPr>
        <w:pStyle w:val="ListNumber"/>
        <w:spacing w:after="40"/>
      </w:pPr>
      <w:r>
        <w:rPr/>
        <w:t>Convert BTEQ and stored procedures to Spark SQL (automated conversion rate 70-80% in past projects).</w:t>
      </w:r>
    </w:p>
    <w:p>
      <w:pPr>
        <w:pStyle w:val="ListNumber"/>
        <w:spacing w:after="40"/>
      </w:pPr>
      <w:r>
        <w:rPr/>
        <w:t>Run in parallel for two month-end closes; reconcile at report level.</w:t>
      </w:r>
    </w:p>
    <w:p>
      <w:pPr>
        <w:pStyle w:val="ListNumber"/>
        <w:spacing w:after="40"/>
      </w:pPr>
      <w:r>
        <w:rPr/>
        <w:t>Decommission domain by domain; payments and cards first because they need streaming.</w:t>
      </w:r>
    </w:p>
    <w:p>
      <w:pPr>
        <w:pStyle w:val="Heading1"/>
      </w:pPr>
      <w:r>
        <w:t>4. Proven results</w:t>
      </w:r>
    </w:p>
    <w:p>
      <w:pPr>
        <w:pStyle w:val="ListBullet"/>
        <w:spacing w:after="40"/>
      </w:pPr>
      <w:r>
        <w:rPr/>
        <w:t>Woodgrove Bank POC (Aug-Nov 2026): card-fraud feature pipeline 11 minutes vs 46 today; lineage for 12 of 12 regulatory elements; 38% lower cost per daily batch.</w:t>
      </w:r>
    </w:p>
    <w:p>
      <w:pPr>
        <w:pStyle w:val="ListBullet"/>
        <w:spacing w:after="40"/>
      </w:pPr>
      <w:r>
        <w:rPr/>
        <w:t>Wingtip Logistics: 2.1 billion telematics events per month processed; platform costs 22% under business case.</w:t>
      </w:r>
    </w:p>
    <w:p>
      <w:pPr>
        <w:pStyle w:val="Heading1"/>
      </w:pPr>
      <w:r>
        <w:t>5. Known gaps</w:t>
      </w:r>
    </w:p>
    <w:p>
      <w:pPr>
        <w:pStyle w:val="ListBullet"/>
        <w:spacing w:after="40"/>
      </w:pPr>
      <w:r>
        <w:rPr/>
        <w:t>No packaged connector for Fiserv DNA real-time events (custom build, 3-4 weeks).</w:t>
      </w:r>
    </w:p>
    <w:p>
      <w:pPr>
        <w:pStyle w:val="ListBullet"/>
        <w:spacing w:after="40"/>
      </w:pPr>
      <w:r>
        <w:rPr/>
        <w:t>Mainframe (z/OS) data offload depends on a third-party CDC tool licence.</w:t>
      </w:r>
    </w:p>
    <w:sectPr w:rsidR="00FC693F" w:rsidRPr="0006063C" w:rsidSect="00034616">
      <w:headerReference w:type="default" r:id="rId9"/>
      <w:foot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7280"/>
        <w:sz w:val="15"/>
      </w:rPr>
      <w:t xml:space="preserve">Fictitious data for testing - Enterprise IQ test corpus    Page </w:t>
    </w:r>
    <w:r>
      <w:rPr>
        <w:sz w:val="15"/>
      </w:rPr>
      <w:fldChar w:fldCharType="begin"/>
      <w:instrText xml:space="preserve">PAGE</w:instrText>
      <w:fldChar w:fldCharType="separate"/>
      <w:t>1</w:t>
      <w:fldChar w:fldCharType="end"/>
    </w:r>
    <w:r>
      <w:rPr>
        <w:sz w:val="15"/>
      </w:rPr>
      <w:t xml:space="preserve"> of </w:t>
    </w:r>
    <w:r>
      <w:rPr>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6"/>
      </w:rPr>
      <w:t>Visionet  |  Cloud Data Platform - Reference Architecture for Banking</w:t>
    </w:r>
    <w:r>
      <w:tab/>
      <w:tab/>
    </w:r>
    <w:r>
      <w:rPr>
        <w:b/>
        <w:color w:val="6B7280"/>
        <w:sz w:val="16"/>
      </w:rPr>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eastAsiaTheme="majorEastAsia" w:ascii="Calibri" w:hAnsi="Calibri" w:cs="Calibri"/>
      <w:b/>
      <w:bCs/>
      <w:color w:val="1B2A4A"/>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eastAsiaTheme="majorEastAsia" w:ascii="Calibri" w:hAnsi="Calibri" w:cs="Calibri"/>
      <w:b/>
      <w:bCs/>
      <w:color w:val="0F7C9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eastAsiaTheme="majorEastAsia" w:ascii="Calibri" w:hAnsi="Calibri" w:cs="Calibri"/>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Data Platform - Reference Architecture for Banking</dc:title>
  <dc:subject>Azure Databricks lakehouse with Unity Catalog  |  Version 4.1</dc:subject>
  <dc:creator>Mei Tanaka</dc:creator>
  <cp:keywords>Enterprise IQ</cp:keywords>
  <dc:description>Fictitious data for testing - Enterprise IQ test corpus</dc:description>
  <cp:lastModifiedBy>Mei Tanaka</cp:lastModifiedBy>
  <cp:revision>1</cp:revision>
  <dcterms:created xsi:type="dcterms:W3CDTF">2026-08-28T09:00:00Z</dcterms:created>
  <dcterms:modified xsi:type="dcterms:W3CDTF">2013-12-23T23:15:00Z</dcterms:modified>
  <cp:category>Internal</cp:category>
</cp:coreProperties>
</file>