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BUSINESS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Коммерческий банк Узбекистана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Каталог AI-моделей — Слой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85FA5" w:sz="8"/>
              <w:left w:val="single" w:color="185FA5" w:sz="8"/>
              <w:bottom w:val="single" w:color="185FA5" w:sz="8"/>
              <w:right w:val="single" w:color="185FA5" w:sz="8"/>
            </w:tcBorders>
            <w:shd w:fill="185FA5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CFF"/>
                <w:sz w:val="18"/>
                <w:szCs w:val="18"/>
              </w:rPr>
              <w:t xml:space="preserve">Моделей</w:t>
            </w:r>
          </w:p>
        </w:tc>
        <w:tc>
          <w:tcPr>
            <w:tcW w:type="dxa" w:w="2340"/>
            <w:tcBorders>
              <w:top w:val="single" w:color="534AB7" w:sz="8"/>
              <w:left w:val="single" w:color="534AB7" w:sz="8"/>
              <w:bottom w:val="single" w:color="534AB7" w:sz="8"/>
              <w:right w:val="single" w:color="534AB7" w:sz="8"/>
            </w:tcBorders>
            <w:shd w:fill="534AB7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CFF"/>
                <w:sz w:val="18"/>
                <w:szCs w:val="18"/>
              </w:rPr>
              <w:t xml:space="preserve">Блоков</w:t>
            </w:r>
          </w:p>
        </w:tc>
        <w:tc>
          <w:tcPr>
            <w:tcW w:type="dxa" w:w="234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166534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2 368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CFF"/>
                <w:sz w:val="18"/>
                <w:szCs w:val="18"/>
              </w:rPr>
              <w:t xml:space="preserve">Метаданных</w:t>
            </w:r>
          </w:p>
        </w:tc>
        <w:tc>
          <w:tcPr>
            <w:tcW w:type="dxa" w:w="234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CFF"/>
                <w:sz w:val="18"/>
                <w:szCs w:val="18"/>
              </w:rPr>
              <w:t xml:space="preserve">Доменов</w:t>
            </w:r>
          </w:p>
        </w:tc>
      </w:tr>
    </w:tbl>
    <w:p>
      <w:pPr>
        <w:spacing w:after="0" w:before="4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185FA5" w:sz="8"/>
              <w:left w:val="single" w:color="185FA5" w:sz="8"/>
              <w:bottom w:val="single" w:color="185FA5" w:sz="8"/>
              <w:right w:val="single" w:color="185FA5" w:sz="8"/>
            </w:tcBorders>
            <w:shd w:fill="185FA5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A</w:t>
            </w:r>
          </w:p>
        </w:tc>
        <w:tc>
          <w:tcPr>
            <w:tcW w:type="dxa" w:w="8320"/>
            <w:tcBorders>
              <w:top w:val="single" w:color="185FA5" w:sz="8"/>
              <w:left w:val="single" w:color="185FA5" w:sz="8"/>
              <w:bottom w:val="single" w:color="185FA5" w:sz="8"/>
              <w:right w:val="single" w:color="185FA5" w:sz="8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Рыночный анализ и ёмкость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Отвечают на вопрос «сколько денег в этой нише и хватит ли места для ещё одного игрока».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85FA5" w:sz="5"/>
              <w:left w:val="single" w:color="185FA5" w:sz="5"/>
              <w:bottom w:val="single" w:color="185FA5" w:sz="5"/>
              <w:right w:val="single" w:color="185FA5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85FA5" w:sz="5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185FA5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M-A1</w:t>
                  </w:r>
                </w:p>
              </w:tc>
              <w:tc>
                <w:tcPr>
                  <w:tcW w:type="dxa" w:w="3720"/>
                  <w:tcBorders>
                    <w:top w:val="single" w:color="185FA5" w:sz="5"/>
                    <w:left w:val="single" w:color="FFFFFF" w:sz="2"/>
                    <w:bottom w:val="single" w:color="185FA5" w:sz="5"/>
                    <w:right w:val="single" w:color="185FA5" w:sz="5"/>
                  </w:tcBorders>
                  <w:shd w:fill="DBEA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Market Sizing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Считает TAM/SAM/SOM по нише и локации — сколько денег реально в рынке.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Байесовская регрессия + bottom-up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185FA5" w:sz="5"/>
              <w:left w:val="single" w:color="185FA5" w:sz="5"/>
              <w:bottom w:val="single" w:color="185FA5" w:sz="5"/>
              <w:right w:val="single" w:color="185FA5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85FA5" w:sz="5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185FA5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M-A2</w:t>
                  </w:r>
                </w:p>
              </w:tc>
              <w:tc>
                <w:tcPr>
                  <w:tcW w:type="dxa" w:w="3720"/>
                  <w:tcBorders>
                    <w:top w:val="single" w:color="185FA5" w:sz="5"/>
                    <w:left w:val="single" w:color="FFFFFF" w:sz="2"/>
                    <w:bottom w:val="single" w:color="185FA5" w:sz="5"/>
                    <w:right w:val="single" w:color="185FA5" w:sz="5"/>
                  </w:tcBorders>
                  <w:shd w:fill="DBEA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GAP Analysis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Сравнивает норматив точек с фактом — показывает дефицит или перенасыщение.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Нормативный расчёт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85FA5" w:sz="5"/>
              <w:left w:val="single" w:color="185FA5" w:sz="5"/>
              <w:bottom w:val="single" w:color="185FA5" w:sz="5"/>
              <w:right w:val="single" w:color="185FA5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85FA5" w:sz="5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185FA5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M-A3</w:t>
                  </w:r>
                </w:p>
              </w:tc>
              <w:tc>
                <w:tcPr>
                  <w:tcW w:type="dxa" w:w="3720"/>
                  <w:tcBorders>
                    <w:top w:val="single" w:color="185FA5" w:sz="5"/>
                    <w:left w:val="single" w:color="FFFFFF" w:sz="2"/>
                    <w:bottom w:val="single" w:color="185FA5" w:sz="5"/>
                    <w:right w:val="single" w:color="185FA5" w:sz="5"/>
                  </w:tcBorders>
                  <w:shd w:fill="DBEA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Saturation Index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Индекс конкурентной насыщенности ниши 0–100 (0 = пусто, 100 = перегрет).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Composite index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185FA5" w:sz="5"/>
              <w:left w:val="single" w:color="185FA5" w:sz="5"/>
              <w:bottom w:val="single" w:color="185FA5" w:sz="5"/>
              <w:right w:val="single" w:color="185FA5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85FA5" w:sz="5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185FA5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M-A4</w:t>
                  </w:r>
                </w:p>
              </w:tc>
              <w:tc>
                <w:tcPr>
                  <w:tcW w:type="dxa" w:w="3720"/>
                  <w:tcBorders>
                    <w:top w:val="single" w:color="185FA5" w:sz="5"/>
                    <w:left w:val="single" w:color="FFFFFF" w:sz="2"/>
                    <w:bottom w:val="single" w:color="185FA5" w:sz="5"/>
                    <w:right w:val="single" w:color="185FA5" w:sz="5"/>
                  </w:tcBorders>
                  <w:shd w:fill="DBEA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Wallet Share Estimator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Доля кошелька населения по MCC-категориям на основе транзакций банка.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Ансамблевая регрессия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85FA5" w:sz="5"/>
              <w:left w:val="single" w:color="185FA5" w:sz="5"/>
              <w:bottom w:val="single" w:color="185FA5" w:sz="5"/>
              <w:right w:val="single" w:color="185FA5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85FA5" w:sz="5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185FA5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M-A5</w:t>
                  </w:r>
                </w:p>
              </w:tc>
              <w:tc>
                <w:tcPr>
                  <w:tcW w:type="dxa" w:w="3720"/>
                  <w:tcBorders>
                    <w:top w:val="single" w:color="185FA5" w:sz="5"/>
                    <w:left w:val="single" w:color="FFFFFF" w:sz="2"/>
                    <w:bottom w:val="single" w:color="185FA5" w:sz="5"/>
                    <w:right w:val="single" w:color="185FA5" w:sz="5"/>
                  </w:tcBorders>
                  <w:shd w:fill="DBEA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Niche Opportunity Score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Итоговый скор: потенциал × (1 − насыщенность). Ранжирует ниши для открытия.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XGBoost + weighted scoring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185FA5" w:sz="5"/>
              <w:left w:val="single" w:color="185FA5" w:sz="5"/>
              <w:bottom w:val="single" w:color="185FA5" w:sz="5"/>
              <w:right w:val="single" w:color="185FA5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85FA5" w:sz="5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185FA5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M-A6</w:t>
                  </w:r>
                </w:p>
              </w:tc>
              <w:tc>
                <w:tcPr>
                  <w:tcW w:type="dxa" w:w="3720"/>
                  <w:tcBorders>
                    <w:top w:val="single" w:color="185FA5" w:sz="5"/>
                    <w:left w:val="single" w:color="FFFFFF" w:sz="2"/>
                    <w:bottom w:val="single" w:color="185FA5" w:sz="5"/>
                    <w:right w:val="single" w:color="185FA5" w:sz="5"/>
                  </w:tcBorders>
                  <w:shd w:fill="DBEA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Cross-Niche Cannibalization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85FA5" w:sz="5"/>
                    <w:bottom w:val="single" w:color="185FA5" w:sz="5"/>
                    <w:right w:val="single" w:color="185FA5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Показывает, насколько новый бизнес «съест» выручку соседних смежных ниш.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Граф-анализ MCC-паттернов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534AB7" w:sz="8"/>
              <w:left w:val="single" w:color="534AB7" w:sz="8"/>
              <w:bottom w:val="single" w:color="534AB7" w:sz="8"/>
              <w:right w:val="single" w:color="534AB7" w:sz="8"/>
            </w:tcBorders>
            <w:shd w:fill="534AB7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B</w:t>
            </w:r>
          </w:p>
        </w:tc>
        <w:tc>
          <w:tcPr>
            <w:tcW w:type="dxa" w:w="8320"/>
            <w:tcBorders>
              <w:top w:val="single" w:color="534AB7" w:sz="8"/>
              <w:left w:val="single" w:color="534AB7" w:sz="8"/>
              <w:bottom w:val="single" w:color="534AB7" w:sz="8"/>
              <w:right w:val="single" w:color="534AB7" w:sz="8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Прогнозирование и спрос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Модели предсказывают будущее — как изменится спрос, доходы, конкуренция через 1–3 года.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534AB7" w:sz="5"/>
              <w:left w:val="single" w:color="534AB7" w:sz="5"/>
              <w:bottom w:val="single" w:color="534AB7" w:sz="5"/>
              <w:right w:val="single" w:color="534AB7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534AB7" w:sz="5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534AB7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M-B1</w:t>
                  </w:r>
                </w:p>
              </w:tc>
              <w:tc>
                <w:tcPr>
                  <w:tcW w:type="dxa" w:w="3720"/>
                  <w:tcBorders>
                    <w:top w:val="single" w:color="534AB7" w:sz="5"/>
                    <w:left w:val="single" w:color="FFFFFF" w:sz="2"/>
                    <w:bottom w:val="single" w:color="534AB7" w:sz="5"/>
                    <w:right w:val="single" w:color="534AB7" w:sz="5"/>
                  </w:tcBorders>
                  <w:shd w:fill="EDE9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Demand Forecasting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Прогноз выручки ниши на 12/24/36 мес с доверительным интервалом.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LSTM + Facebook Prophet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534AB7" w:sz="5"/>
              <w:left w:val="single" w:color="534AB7" w:sz="5"/>
              <w:bottom w:val="single" w:color="534AB7" w:sz="5"/>
              <w:right w:val="single" w:color="534AB7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534AB7" w:sz="5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534AB7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M-B2</w:t>
                  </w:r>
                </w:p>
              </w:tc>
              <w:tc>
                <w:tcPr>
                  <w:tcW w:type="dxa" w:w="3720"/>
                  <w:tcBorders>
                    <w:top w:val="single" w:color="534AB7" w:sz="5"/>
                    <w:left w:val="single" w:color="FFFFFF" w:sz="2"/>
                    <w:bottom w:val="single" w:color="534AB7" w:sz="5"/>
                    <w:right w:val="single" w:color="534AB7" w:sz="5"/>
                  </w:tcBorders>
                  <w:shd w:fill="EDE9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Seasonality Model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Помесячные индексы спроса по нише с учётом Рамадана, Навруза, свадеб.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STL-декомпозиция + Fourier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534AB7" w:sz="5"/>
              <w:left w:val="single" w:color="534AB7" w:sz="5"/>
              <w:bottom w:val="single" w:color="534AB7" w:sz="5"/>
              <w:right w:val="single" w:color="534AB7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534AB7" w:sz="5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534AB7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M-B3</w:t>
                  </w:r>
                </w:p>
              </w:tc>
              <w:tc>
                <w:tcPr>
                  <w:tcW w:type="dxa" w:w="3720"/>
                  <w:tcBorders>
                    <w:top w:val="single" w:color="534AB7" w:sz="5"/>
                    <w:left w:val="single" w:color="FFFFFF" w:sz="2"/>
                    <w:bottom w:val="single" w:color="534AB7" w:sz="5"/>
                    <w:right w:val="single" w:color="534AB7" w:sz="5"/>
                  </w:tcBorders>
                  <w:shd w:fill="EDE9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Population Dynamics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Прогноз демографических сдвигов — кто будет целевой аудиторией через 5 лет.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Когортно-компонентная модель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534AB7" w:sz="5"/>
              <w:left w:val="single" w:color="534AB7" w:sz="5"/>
              <w:bottom w:val="single" w:color="534AB7" w:sz="5"/>
              <w:right w:val="single" w:color="534AB7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534AB7" w:sz="5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534AB7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M-B4</w:t>
                  </w:r>
                </w:p>
              </w:tc>
              <w:tc>
                <w:tcPr>
                  <w:tcW w:type="dxa" w:w="3720"/>
                  <w:tcBorders>
                    <w:top w:val="single" w:color="534AB7" w:sz="5"/>
                    <w:left w:val="single" w:color="FFFFFF" w:sz="2"/>
                    <w:bottom w:val="single" w:color="534AB7" w:sz="5"/>
                    <w:right w:val="single" w:color="534AB7" w:sz="5"/>
                  </w:tcBorders>
                  <w:shd w:fill="EDE9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Income Trend Forecast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Прогноз доходов и покупательной силы населения на 1/3/5 лет.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ARIMA + макрофакторы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534AB7" w:sz="5"/>
              <w:left w:val="single" w:color="534AB7" w:sz="5"/>
              <w:bottom w:val="single" w:color="534AB7" w:sz="5"/>
              <w:right w:val="single" w:color="534AB7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534AB7" w:sz="5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534AB7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M-B5</w:t>
                  </w:r>
                </w:p>
              </w:tc>
              <w:tc>
                <w:tcPr>
                  <w:tcW w:type="dxa" w:w="3720"/>
                  <w:tcBorders>
                    <w:top w:val="single" w:color="534AB7" w:sz="5"/>
                    <w:left w:val="single" w:color="FFFFFF" w:sz="2"/>
                    <w:bottom w:val="single" w:color="534AB7" w:sz="5"/>
                    <w:right w:val="single" w:color="534AB7" w:sz="5"/>
                  </w:tcBorders>
                  <w:shd w:fill="EDE9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MCC Trend Detector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Выявляет растущие и падающие категории трат — сигнал на вход/выход из ниши.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Changepoint detection (PELT)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534AB7" w:sz="5"/>
              <w:left w:val="single" w:color="534AB7" w:sz="5"/>
              <w:bottom w:val="single" w:color="534AB7" w:sz="5"/>
              <w:right w:val="single" w:color="534AB7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534AB7" w:sz="5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534AB7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M-B6</w:t>
                  </w:r>
                </w:p>
              </w:tc>
              <w:tc>
                <w:tcPr>
                  <w:tcW w:type="dxa" w:w="3720"/>
                  <w:tcBorders>
                    <w:top w:val="single" w:color="534AB7" w:sz="5"/>
                    <w:left w:val="single" w:color="FFFFFF" w:sz="2"/>
                    <w:bottom w:val="single" w:color="534AB7" w:sz="5"/>
                    <w:right w:val="single" w:color="534AB7" w:sz="5"/>
                  </w:tcBorders>
                  <w:shd w:fill="EDE9FE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Business Registration Forecast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534AB7" w:sz="5"/>
                    <w:bottom w:val="single" w:color="534AB7" w:sz="5"/>
                    <w:right w:val="single" w:color="534AB7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Прогноз числа новых конкурентов в нише через 12/24 месяца.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Autoregressive + XGBoost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C</w:t>
            </w:r>
          </w:p>
        </w:tc>
        <w:tc>
          <w:tcPr>
            <w:tcW w:type="dxa" w:w="832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6"/>
                <w:szCs w:val="26"/>
              </w:rPr>
              <w:t xml:space="preserve">Оценка локации и трафик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Определяют, насколько привлекательна конкретная точка: трафик, видимость, соседи, изохроны.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B45309" w:sz="5"/>
              <w:left w:val="single" w:color="B45309" w:sz="5"/>
              <w:bottom w:val="single" w:color="B45309" w:sz="5"/>
              <w:right w:val="single" w:color="B45309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B45309" w:sz="5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M-C1</w:t>
                  </w:r>
                </w:p>
              </w:tc>
              <w:tc>
                <w:tcPr>
                  <w:tcW w:type="dxa" w:w="3720"/>
                  <w:tcBorders>
                    <w:top w:val="single" w:color="B45309" w:sz="5"/>
                    <w:left w:val="single" w:color="FFFFFF" w:sz="2"/>
                    <w:bottom w:val="single" w:color="B45309" w:sz="5"/>
                    <w:right w:val="single" w:color="B45309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Location Score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Интегральный скор привлекательности локации 0–100 из 8 суб-факторов.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Взвешенный composite index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B45309" w:sz="5"/>
              <w:left w:val="single" w:color="B45309" w:sz="5"/>
              <w:bottom w:val="single" w:color="B45309" w:sz="5"/>
              <w:right w:val="single" w:color="B45309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B45309" w:sz="5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M-C2</w:t>
                  </w:r>
                </w:p>
              </w:tc>
              <w:tc>
                <w:tcPr>
                  <w:tcW w:type="dxa" w:w="3720"/>
                  <w:tcBorders>
                    <w:top w:val="single" w:color="B45309" w:sz="5"/>
                    <w:left w:val="single" w:color="FFFFFF" w:sz="2"/>
                    <w:bottom w:val="single" w:color="B45309" w:sz="5"/>
                    <w:right w:val="single" w:color="B45309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Traffic Scoring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Оценивает пешеходный и авто-трафик по часам, дням и сезонам.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Gradient boosting + GPS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B45309" w:sz="5"/>
              <w:left w:val="single" w:color="B45309" w:sz="5"/>
              <w:bottom w:val="single" w:color="B45309" w:sz="5"/>
              <w:right w:val="single" w:color="B45309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B45309" w:sz="5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M-C3</w:t>
                  </w:r>
                </w:p>
              </w:tc>
              <w:tc>
                <w:tcPr>
                  <w:tcW w:type="dxa" w:w="3720"/>
                  <w:tcBorders>
                    <w:top w:val="single" w:color="B45309" w:sz="5"/>
                    <w:left w:val="single" w:color="FFFFFF" w:sz="2"/>
                    <w:bottom w:val="single" w:color="B45309" w:sz="5"/>
                    <w:right w:val="single" w:color="B45309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Isochrone Demand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Потребительский потенциал в радиусе 5 и 10 минут пешком.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Сетевой анализ OSM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B45309" w:sz="5"/>
              <w:left w:val="single" w:color="B45309" w:sz="5"/>
              <w:bottom w:val="single" w:color="B45309" w:sz="5"/>
              <w:right w:val="single" w:color="B45309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B45309" w:sz="5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M-C4</w:t>
                  </w:r>
                </w:p>
              </w:tc>
              <w:tc>
                <w:tcPr>
                  <w:tcW w:type="dxa" w:w="3720"/>
                  <w:tcBorders>
                    <w:top w:val="single" w:color="B45309" w:sz="5"/>
                    <w:left w:val="single" w:color="FFFFFF" w:sz="2"/>
                    <w:bottom w:val="single" w:color="B45309" w:sz="5"/>
                    <w:right w:val="single" w:color="B45309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Street Vitality Index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Доля активных витрин на улице — индикатор «живости» торговой зоны.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POI + данные регистраций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B45309" w:sz="5"/>
              <w:left w:val="single" w:color="B45309" w:sz="5"/>
              <w:bottom w:val="single" w:color="B45309" w:sz="5"/>
              <w:right w:val="single" w:color="B45309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B45309" w:sz="5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M-C5</w:t>
                  </w:r>
                </w:p>
              </w:tc>
              <w:tc>
                <w:tcPr>
                  <w:tcW w:type="dxa" w:w="3720"/>
                  <w:tcBorders>
                    <w:top w:val="single" w:color="B45309" w:sz="5"/>
                    <w:left w:val="single" w:color="FFFFFF" w:sz="2"/>
                    <w:bottom w:val="single" w:color="B45309" w:sz="5"/>
                    <w:right w:val="single" w:color="B45309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Anchor Effect Model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Как рядом стоящий рынок, ТЦ или мечеть поднимает трафик к точке.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Spatial lag + gravity model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B45309" w:sz="5"/>
              <w:left w:val="single" w:color="B45309" w:sz="5"/>
              <w:bottom w:val="single" w:color="B45309" w:sz="5"/>
              <w:right w:val="single" w:color="B45309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B45309" w:sz="5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B45309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M-C6</w:t>
                  </w:r>
                </w:p>
              </w:tc>
              <w:tc>
                <w:tcPr>
                  <w:tcW w:type="dxa" w:w="3720"/>
                  <w:tcBorders>
                    <w:top w:val="single" w:color="B45309" w:sz="5"/>
                    <w:left w:val="single" w:color="FFFFFF" w:sz="2"/>
                    <w:bottom w:val="single" w:color="B45309" w:sz="5"/>
                    <w:right w:val="single" w:color="B45309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Visibility Score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B45309" w:sz="5"/>
                    <w:bottom w:val="single" w:color="B45309" w:sz="5"/>
                    <w:right w:val="single" w:color="B45309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Насколько хорошо торговая точка видна с дороги и тротуара.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Геометрический анализ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166534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D</w:t>
            </w:r>
          </w:p>
        </w:tc>
        <w:tc>
          <w:tcPr>
            <w:tcW w:type="dxa" w:w="8320"/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6"/>
                <w:szCs w:val="26"/>
              </w:rPr>
              <w:t xml:space="preserve">Финансовая жизнеспособность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Проверяют, выживет ли бизнес финансово: окупаемость, кэшфлоу, маржа, чувствительность.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66534" w:sz="5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M-D1</w:t>
                  </w:r>
                </w:p>
              </w:tc>
              <w:tc>
                <w:tcPr>
                  <w:tcW w:type="dxa" w:w="3720"/>
                  <w:tcBorders>
                    <w:top w:val="single" w:color="166534" w:sz="5"/>
                    <w:left w:val="single" w:color="FFFFFF" w:sz="2"/>
                    <w:bottom w:val="single" w:color="166534" w:sz="5"/>
                    <w:right w:val="single" w:color="166534" w:sz="5"/>
                  </w:tcBorders>
                  <w:shd w:fill="DCFCE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20"/>
                      <w:szCs w:val="20"/>
                    </w:rPr>
                    <w:t xml:space="preserve">Viability Check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Живучесть бизнес-плана: break-even, runway, вероятность выживания за 2 года.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Финансовая модель + Monte Carlo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66534" w:sz="5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M-D2</w:t>
                  </w:r>
                </w:p>
              </w:tc>
              <w:tc>
                <w:tcPr>
                  <w:tcW w:type="dxa" w:w="3720"/>
                  <w:tcBorders>
                    <w:top w:val="single" w:color="166534" w:sz="5"/>
                    <w:left w:val="single" w:color="FFFFFF" w:sz="2"/>
                    <w:bottom w:val="single" w:color="166534" w:sz="5"/>
                    <w:right w:val="single" w:color="166534" w:sz="5"/>
                  </w:tcBorders>
                  <w:shd w:fill="DCFCE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20"/>
                      <w:szCs w:val="20"/>
                    </w:rPr>
                    <w:t xml:space="preserve">Unit Economics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LTV, CAC, payback period и net margin по нише в данной локации.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Cohort analysis на транзакциях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66534" w:sz="5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M-D3</w:t>
                  </w:r>
                </w:p>
              </w:tc>
              <w:tc>
                <w:tcPr>
                  <w:tcW w:type="dxa" w:w="3720"/>
                  <w:tcBorders>
                    <w:top w:val="single" w:color="166534" w:sz="5"/>
                    <w:left w:val="single" w:color="FFFFFF" w:sz="2"/>
                    <w:bottom w:val="single" w:color="166534" w:sz="5"/>
                    <w:right w:val="single" w:color="166534" w:sz="5"/>
                  </w:tcBorders>
                  <w:shd w:fill="DCFCE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20"/>
                      <w:szCs w:val="20"/>
                    </w:rPr>
                    <w:t xml:space="preserve">ROI Estimator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Срок окупаемости и доходность инвестиций с дисконтированием (NPV).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DCF + регрессия на МСБ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66534" w:sz="5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M-D4</w:t>
                  </w:r>
                </w:p>
              </w:tc>
              <w:tc>
                <w:tcPr>
                  <w:tcW w:type="dxa" w:w="3720"/>
                  <w:tcBorders>
                    <w:top w:val="single" w:color="166534" w:sz="5"/>
                    <w:left w:val="single" w:color="FFFFFF" w:sz="2"/>
                    <w:bottom w:val="single" w:color="166534" w:sz="5"/>
                    <w:right w:val="single" w:color="166534" w:sz="5"/>
                  </w:tcBorders>
                  <w:shd w:fill="DCFCE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20"/>
                      <w:szCs w:val="20"/>
                    </w:rPr>
                    <w:t xml:space="preserve">Rental Burden Model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Безопасная и критическая доля аренды в выручке — зелёная/жёлтая/красная зона.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Пороговая модель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66534" w:sz="5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M-D5</w:t>
                  </w:r>
                </w:p>
              </w:tc>
              <w:tc>
                <w:tcPr>
                  <w:tcW w:type="dxa" w:w="3720"/>
                  <w:tcBorders>
                    <w:top w:val="single" w:color="166534" w:sz="5"/>
                    <w:left w:val="single" w:color="FFFFFF" w:sz="2"/>
                    <w:bottom w:val="single" w:color="166534" w:sz="5"/>
                    <w:right w:val="single" w:color="166534" w:sz="5"/>
                  </w:tcBorders>
                  <w:shd w:fill="DCFCE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20"/>
                      <w:szCs w:val="20"/>
                    </w:rPr>
                    <w:t xml:space="preserve">Cash Flow Simulator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Помесячный кэшфлоу на 24 мес с выделением месяцев кассового разрыва.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Monte Carlo + сезонность M-B2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166534" w:sz="5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166534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M-D6</w:t>
                  </w:r>
                </w:p>
              </w:tc>
              <w:tc>
                <w:tcPr>
                  <w:tcW w:type="dxa" w:w="3720"/>
                  <w:tcBorders>
                    <w:top w:val="single" w:color="166534" w:sz="5"/>
                    <w:left w:val="single" w:color="FFFFFF" w:sz="2"/>
                    <w:bottom w:val="single" w:color="166534" w:sz="5"/>
                    <w:right w:val="single" w:color="166534" w:sz="5"/>
                  </w:tcBorders>
                  <w:shd w:fill="DCFCE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20"/>
                      <w:szCs w:val="20"/>
                    </w:rPr>
                    <w:t xml:space="preserve">COGS &amp; Margin Estimator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166534" w:sz="5"/>
                    <w:bottom w:val="single" w:color="166534" w:sz="5"/>
                    <w:right w:val="single" w:color="166534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Себестоимость и маржинальность по отрасли на основе локальных цен.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Отраслевые бенчмарки + D36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B1C1C" w:sz="8"/>
              <w:left w:val="single" w:color="9B1C1C" w:sz="8"/>
              <w:bottom w:val="single" w:color="9B1C1C" w:sz="8"/>
              <w:right w:val="single" w:color="9B1C1C" w:sz="8"/>
            </w:tcBorders>
            <w:shd w:fill="9B1C1C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E</w:t>
            </w:r>
          </w:p>
        </w:tc>
        <w:tc>
          <w:tcPr>
            <w:tcW w:type="dxa" w:w="8320"/>
            <w:tcBorders>
              <w:top w:val="single" w:color="9B1C1C" w:sz="8"/>
              <w:left w:val="single" w:color="9B1C1C" w:sz="8"/>
              <w:bottom w:val="single" w:color="9B1C1C" w:sz="8"/>
              <w:right w:val="single" w:color="9B1C1C" w:sz="8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6"/>
                <w:szCs w:val="26"/>
              </w:rPr>
              <w:t xml:space="preserve">Конкуренция и риски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Оценивают угрозы: кто конкурирует, насколько велик риск закрытия, какие барьеры входа.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9B1C1C" w:sz="5"/>
              <w:left w:val="single" w:color="9B1C1C" w:sz="5"/>
              <w:bottom w:val="single" w:color="9B1C1C" w:sz="5"/>
              <w:right w:val="single" w:color="9B1C1C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B1C1C" w:sz="5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9B1C1C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M-E1</w:t>
                  </w:r>
                </w:p>
              </w:tc>
              <w:tc>
                <w:tcPr>
                  <w:tcW w:type="dxa" w:w="3720"/>
                  <w:tcBorders>
                    <w:top w:val="single" w:color="9B1C1C" w:sz="5"/>
                    <w:left w:val="single" w:color="FFFFFF" w:sz="2"/>
                    <w:bottom w:val="single" w:color="9B1C1C" w:sz="5"/>
                    <w:right w:val="single" w:color="9B1C1C" w:sz="5"/>
                  </w:tcBorders>
                  <w:shd w:fill="FEE2E2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F1D1D"/>
                      <w:sz w:val="20"/>
                      <w:szCs w:val="20"/>
                    </w:rPr>
                    <w:t xml:space="preserve">Competitor Intelligence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Карта конкурентов в радиусе 300м/1км: рейтинги, цены, слабые места.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Spatial query + NLP отзывов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9B1C1C" w:sz="5"/>
              <w:left w:val="single" w:color="9B1C1C" w:sz="5"/>
              <w:bottom w:val="single" w:color="9B1C1C" w:sz="5"/>
              <w:right w:val="single" w:color="9B1C1C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B1C1C" w:sz="5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9B1C1C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M-E2</w:t>
                  </w:r>
                </w:p>
              </w:tc>
              <w:tc>
                <w:tcPr>
                  <w:tcW w:type="dxa" w:w="3720"/>
                  <w:tcBorders>
                    <w:top w:val="single" w:color="9B1C1C" w:sz="5"/>
                    <w:left w:val="single" w:color="FFFFFF" w:sz="2"/>
                    <w:bottom w:val="single" w:color="9B1C1C" w:sz="5"/>
                    <w:right w:val="single" w:color="9B1C1C" w:sz="5"/>
                  </w:tcBorders>
                  <w:shd w:fill="FEE2E2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F1D1D"/>
                      <w:sz w:val="20"/>
                      <w:szCs w:val="20"/>
                    </w:rPr>
                    <w:t xml:space="preserve">Churn Prediction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Вероятность закрытия бизнеса в первые 2 года с топ-3 факторами риска.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XGBoost на 50K МСБ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9B1C1C" w:sz="5"/>
              <w:left w:val="single" w:color="9B1C1C" w:sz="5"/>
              <w:bottom w:val="single" w:color="9B1C1C" w:sz="5"/>
              <w:right w:val="single" w:color="9B1C1C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B1C1C" w:sz="5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9B1C1C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M-E3</w:t>
                  </w:r>
                </w:p>
              </w:tc>
              <w:tc>
                <w:tcPr>
                  <w:tcW w:type="dxa" w:w="3720"/>
                  <w:tcBorders>
                    <w:top w:val="single" w:color="9B1C1C" w:sz="5"/>
                    <w:left w:val="single" w:color="FFFFFF" w:sz="2"/>
                    <w:bottom w:val="single" w:color="9B1C1C" w:sz="5"/>
                    <w:right w:val="single" w:color="9B1C1C" w:sz="5"/>
                  </w:tcBorders>
                  <w:shd w:fill="FEE2E2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F1D1D"/>
                      <w:sz w:val="20"/>
                      <w:szCs w:val="20"/>
                    </w:rPr>
                    <w:t xml:space="preserve">Regulatory Risk Score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Риск проверок и штрафов по типу деятельности и локации.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Rule-based + история штрафов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9B1C1C" w:sz="5"/>
              <w:left w:val="single" w:color="9B1C1C" w:sz="5"/>
              <w:bottom w:val="single" w:color="9B1C1C" w:sz="5"/>
              <w:right w:val="single" w:color="9B1C1C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B1C1C" w:sz="5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9B1C1C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M-E4</w:t>
                  </w:r>
                </w:p>
              </w:tc>
              <w:tc>
                <w:tcPr>
                  <w:tcW w:type="dxa" w:w="3720"/>
                  <w:tcBorders>
                    <w:top w:val="single" w:color="9B1C1C" w:sz="5"/>
                    <w:left w:val="single" w:color="FFFFFF" w:sz="2"/>
                    <w:bottom w:val="single" w:color="9B1C1C" w:sz="5"/>
                    <w:right w:val="single" w:color="9B1C1C" w:sz="5"/>
                  </w:tcBorders>
                  <w:shd w:fill="FEE2E2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F1D1D"/>
                      <w:sz w:val="20"/>
                      <w:szCs w:val="20"/>
                    </w:rPr>
                    <w:t xml:space="preserve">Market Entry Barrier Index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Высота барьеров входа: финансовых, регуляторных, конкурентных.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Composite index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9B1C1C" w:sz="5"/>
              <w:left w:val="single" w:color="9B1C1C" w:sz="5"/>
              <w:bottom w:val="single" w:color="9B1C1C" w:sz="5"/>
              <w:right w:val="single" w:color="9B1C1C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B1C1C" w:sz="5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9B1C1C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M-E5</w:t>
                  </w:r>
                </w:p>
              </w:tc>
              <w:tc>
                <w:tcPr>
                  <w:tcW w:type="dxa" w:w="3720"/>
                  <w:tcBorders>
                    <w:top w:val="single" w:color="9B1C1C" w:sz="5"/>
                    <w:left w:val="single" w:color="FFFFFF" w:sz="2"/>
                    <w:bottom w:val="single" w:color="9B1C1C" w:sz="5"/>
                    <w:right w:val="single" w:color="9B1C1C" w:sz="5"/>
                  </w:tcBorders>
                  <w:shd w:fill="FEE2E2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F1D1D"/>
                      <w:sz w:val="20"/>
                      <w:szCs w:val="20"/>
                    </w:rPr>
                    <w:t xml:space="preserve">Price Pressure Model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B1C1C" w:sz="5"/>
                    <w:bottom w:val="single" w:color="9B1C1C" w:sz="5"/>
                    <w:right w:val="single" w:color="9B1C1C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Ценовое давление конкурентов и оптимальный ценовой диапазон для ниши.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Hedonic pricing + эластичность</w:t>
                  </w:r>
                </w:p>
              </w:tc>
            </w:tr>
          </w:tbl>
          <w:p/>
        </w:tc>
        <w:tc>
          <w:tcPr>
            <w:tcW w:type="dxa" w:w="474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2400E" w:sz="8"/>
              <w:left w:val="single" w:color="92400E" w:sz="8"/>
              <w:bottom w:val="single" w:color="92400E" w:sz="8"/>
              <w:right w:val="single" w:color="92400E" w:sz="8"/>
            </w:tcBorders>
            <w:shd w:fill="92400E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F</w:t>
            </w:r>
          </w:p>
        </w:tc>
        <w:tc>
          <w:tcPr>
            <w:tcW w:type="dxa" w:w="8320"/>
            <w:tcBorders>
              <w:top w:val="single" w:color="92400E" w:sz="8"/>
              <w:left w:val="single" w:color="92400E" w:sz="8"/>
              <w:bottom w:val="single" w:color="92400E" w:sz="8"/>
              <w:right w:val="single" w:color="92400E" w:sz="8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6"/>
                <w:szCs w:val="26"/>
              </w:rPr>
              <w:t xml:space="preserve">Кредитование и банковские продукты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Прямая ценность для банка: скоринг заёмщика, подбор продуктов, ранний сигнал дефолта.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92400E" w:sz="5"/>
              <w:left w:val="single" w:color="92400E" w:sz="5"/>
              <w:bottom w:val="single" w:color="92400E" w:sz="5"/>
              <w:right w:val="single" w:color="92400E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2400E" w:sz="5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92400E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M-F1</w:t>
                  </w:r>
                </w:p>
              </w:tc>
              <w:tc>
                <w:tcPr>
                  <w:tcW w:type="dxa" w:w="3720"/>
                  <w:tcBorders>
                    <w:top w:val="single" w:color="92400E" w:sz="5"/>
                    <w:left w:val="single" w:color="FFFFFF" w:sz="2"/>
                    <w:bottom w:val="single" w:color="92400E" w:sz="5"/>
                    <w:right w:val="single" w:color="92400E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Credit Risk Score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Скоринг заёмщика как тройка: клиент × локация × ниша — точнее классического.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LightGBM gradient boosting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92400E" w:sz="5"/>
              <w:left w:val="single" w:color="92400E" w:sz="5"/>
              <w:bottom w:val="single" w:color="92400E" w:sz="5"/>
              <w:right w:val="single" w:color="92400E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2400E" w:sz="5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92400E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M-F2</w:t>
                  </w:r>
                </w:p>
              </w:tc>
              <w:tc>
                <w:tcPr>
                  <w:tcW w:type="dxa" w:w="3720"/>
                  <w:tcBorders>
                    <w:top w:val="single" w:color="92400E" w:sz="5"/>
                    <w:left w:val="single" w:color="FFFFFF" w:sz="2"/>
                    <w:bottom w:val="single" w:color="92400E" w:sz="5"/>
                    <w:right w:val="single" w:color="92400E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Loan Sizing Recommender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Оптимальная сумма кредита исходя из кэшфлоу, маржи и долговой нагрузки.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Регрессия на кэшфлоу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92400E" w:sz="5"/>
              <w:left w:val="single" w:color="92400E" w:sz="5"/>
              <w:bottom w:val="single" w:color="92400E" w:sz="5"/>
              <w:right w:val="single" w:color="92400E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2400E" w:sz="5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92400E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M-F3</w:t>
                  </w:r>
                </w:p>
              </w:tc>
              <w:tc>
                <w:tcPr>
                  <w:tcW w:type="dxa" w:w="3720"/>
                  <w:tcBorders>
                    <w:top w:val="single" w:color="92400E" w:sz="5"/>
                    <w:left w:val="single" w:color="FFFFFF" w:sz="2"/>
                    <w:bottom w:val="single" w:color="92400E" w:sz="5"/>
                    <w:right w:val="single" w:color="92400E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DTI Predictor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Прогноз debt-to-income после открытия бизнеса через 6/12/24 мес.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Временной ряд + регрессия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92400E" w:sz="5"/>
              <w:left w:val="single" w:color="92400E" w:sz="5"/>
              <w:bottom w:val="single" w:color="92400E" w:sz="5"/>
              <w:right w:val="single" w:color="92400E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2400E" w:sz="5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92400E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M-F4</w:t>
                  </w:r>
                </w:p>
              </w:tc>
              <w:tc>
                <w:tcPr>
                  <w:tcW w:type="dxa" w:w="3720"/>
                  <w:tcBorders>
                    <w:top w:val="single" w:color="92400E" w:sz="5"/>
                    <w:left w:val="single" w:color="FFFFFF" w:sz="2"/>
                    <w:bottom w:val="single" w:color="92400E" w:sz="5"/>
                    <w:right w:val="single" w:color="92400E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NPL Early Warning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Ранний сигнал дефолта за 2–3 месяца до просрочки по транзакционным аномалиям.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Isolation Forest + LSTM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92400E" w:sz="5"/>
              <w:left w:val="single" w:color="92400E" w:sz="5"/>
              <w:bottom w:val="single" w:color="92400E" w:sz="5"/>
              <w:right w:val="single" w:color="92400E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92400E" w:sz="5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92400E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M-F5</w:t>
                  </w:r>
                </w:p>
              </w:tc>
              <w:tc>
                <w:tcPr>
                  <w:tcW w:type="dxa" w:w="3720"/>
                  <w:tcBorders>
                    <w:top w:val="single" w:color="92400E" w:sz="5"/>
                    <w:left w:val="single" w:color="FFFFFF" w:sz="2"/>
                    <w:bottom w:val="single" w:color="92400E" w:sz="5"/>
                    <w:right w:val="single" w:color="92400E" w:sz="5"/>
                  </w:tcBorders>
                  <w:shd w:fill="FEF3C7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8350F"/>
                      <w:sz w:val="20"/>
                      <w:szCs w:val="20"/>
                    </w:rPr>
                    <w:t xml:space="preserve">Bank Product Recommender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92400E" w:sz="5"/>
                    <w:bottom w:val="single" w:color="92400E" w:sz="5"/>
                    <w:right w:val="single" w:color="92400E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Подбирает лучший продукт банка (кредит/лизинг/гарантия) под профиль МСБ.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Collaborative filtering</w:t>
                  </w:r>
                </w:p>
              </w:tc>
            </w:tr>
          </w:tbl>
          <w:p/>
        </w:tc>
        <w:tc>
          <w:tcPr>
            <w:tcW w:type="dxa" w:w="474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374151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Блок G</w:t>
            </w:r>
          </w:p>
        </w:tc>
        <w:tc>
          <w:tcPr>
            <w:tcW w:type="dxa" w:w="832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Социальный профиль и целевая аудитория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Описывают, кто покупатель: демография, поведение, покупательная сила по микрозонам.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374151" w:sz="5"/>
              <w:left w:val="single" w:color="374151" w:sz="5"/>
              <w:bottom w:val="single" w:color="374151" w:sz="5"/>
              <w:right w:val="single" w:color="374151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374151" w:sz="5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374151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M-G1</w:t>
                  </w:r>
                </w:p>
              </w:tc>
              <w:tc>
                <w:tcPr>
                  <w:tcW w:type="dxa" w:w="3720"/>
                  <w:tcBorders>
                    <w:top w:val="single" w:color="374151" w:sz="5"/>
                    <w:left w:val="single" w:color="FFFFFF" w:sz="2"/>
                    <w:bottom w:val="single" w:color="374151" w:sz="5"/>
                    <w:right w:val="single" w:color="374151" w:sz="5"/>
                  </w:tcBorders>
                  <w:shd w:fill="F1F5F9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Customer Segment Profiler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Профиль ЦА: возраст, доход, топ-5 категорий расходов, частота покупок.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K-means / DBSCAN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374151" w:sz="5"/>
              <w:left w:val="single" w:color="374151" w:sz="5"/>
              <w:bottom w:val="single" w:color="374151" w:sz="5"/>
              <w:right w:val="single" w:color="374151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374151" w:sz="5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374151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M-G2</w:t>
                  </w:r>
                </w:p>
              </w:tc>
              <w:tc>
                <w:tcPr>
                  <w:tcW w:type="dxa" w:w="3720"/>
                  <w:tcBorders>
                    <w:top w:val="single" w:color="374151" w:sz="5"/>
                    <w:left w:val="single" w:color="FFFFFF" w:sz="2"/>
                    <w:bottom w:val="single" w:color="374151" w:sz="5"/>
                    <w:right w:val="single" w:color="374151" w:sz="5"/>
                  </w:tcBorders>
                  <w:shd w:fill="F1F5F9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Day Population Estimator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Дневная аудитория локации: жители + приезжие + транзитники по часам.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Gravity model + GPS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374151" w:sz="5"/>
              <w:left w:val="single" w:color="374151" w:sz="5"/>
              <w:bottom w:val="single" w:color="374151" w:sz="5"/>
              <w:right w:val="single" w:color="374151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374151" w:sz="5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374151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M-G3</w:t>
                  </w:r>
                </w:p>
              </w:tc>
              <w:tc>
                <w:tcPr>
                  <w:tcW w:type="dxa" w:w="3720"/>
                  <w:tcBorders>
                    <w:top w:val="single" w:color="374151" w:sz="5"/>
                    <w:left w:val="single" w:color="FFFFFF" w:sz="2"/>
                    <w:bottom w:val="single" w:color="374151" w:sz="5"/>
                    <w:right w:val="single" w:color="374151" w:sz="5"/>
                  </w:tcBorders>
                  <w:shd w:fill="F1F5F9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Consumer Behavior Classifier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Тип потребителя: «утренний», «premium», «bargain hunter» и т.д.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NLP на MCC-последоват.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620"/>
            <w:tcBorders>
              <w:top w:val="single" w:color="374151" w:sz="5"/>
              <w:left w:val="single" w:color="374151" w:sz="5"/>
              <w:bottom w:val="single" w:color="374151" w:sz="5"/>
              <w:right w:val="single" w:color="374151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374151" w:sz="5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374151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M-G4</w:t>
                  </w:r>
                </w:p>
              </w:tc>
              <w:tc>
                <w:tcPr>
                  <w:tcW w:type="dxa" w:w="3720"/>
                  <w:tcBorders>
                    <w:top w:val="single" w:color="374151" w:sz="5"/>
                    <w:left w:val="single" w:color="FFFFFF" w:sz="2"/>
                    <w:bottom w:val="single" w:color="374151" w:sz="5"/>
                    <w:right w:val="single" w:color="374151" w:sz="5"/>
                  </w:tcBorders>
                  <w:shd w:fill="F1F5F9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Brand Affinity Model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Насколько аудитория лояльна к сетям vs независимым точкам в нише.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Collaborative filtering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374151" w:sz="5"/>
              <w:left w:val="single" w:color="374151" w:sz="5"/>
              <w:bottom w:val="single" w:color="374151" w:sz="5"/>
              <w:right w:val="single" w:color="374151" w:sz="5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720"/>
            </w:tblGrid>
            <w:tr>
              <w:tc>
                <w:tcPr>
                  <w:tcW w:type="dxa" w:w="900"/>
                  <w:tcBorders>
                    <w:top w:val="single" w:color="374151" w:sz="5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374151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M-G5</w:t>
                  </w:r>
                </w:p>
              </w:tc>
              <w:tc>
                <w:tcPr>
                  <w:tcW w:type="dxa" w:w="3720"/>
                  <w:tcBorders>
                    <w:top w:val="single" w:color="374151" w:sz="5"/>
                    <w:left w:val="single" w:color="FFFFFF" w:sz="2"/>
                    <w:bottom w:val="single" w:color="374151" w:sz="5"/>
                    <w:right w:val="single" w:color="374151" w:sz="5"/>
                  </w:tcBorders>
                  <w:shd w:fill="F1F5F9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Spending Power Index</w:t>
                  </w:r>
                </w:p>
              </w:tc>
            </w:tr>
          </w:tbl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DDDDDD" w:sz="2"/>
                    <w:left w:val="single" w:color="374151" w:sz="5"/>
                    <w:bottom w:val="single" w:color="374151" w:sz="5"/>
                    <w:right w:val="single" w:color="374151" w:sz="5"/>
                  </w:tcBorders>
                  <w:shd w:fill="FFFFFF" w:val="clear"/>
                  <w:tcMar>
                    <w:top w:type="dxa" w:w="11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Тепловая карта покупательной силы по кварталам и улицам района.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16"/>
                      <w:szCs w:val="16"/>
                    </w:rPr>
                    <w:t xml:space="preserve">Алгоритм: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Spatial interpolation</w:t>
                  </w:r>
                </w:p>
              </w:tc>
            </w:tr>
          </w:tbl>
          <w:p/>
        </w:tc>
        <w:tc>
          <w:tcPr>
            <w:tcW w:type="dxa" w:w="474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Сводная таблица — все 35 моделей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500"/>
        <w:gridCol w:w="2000"/>
        <w:gridCol w:w="2460"/>
      </w:tblGrid>
      <w:tr>
        <w:tc>
          <w:tcPr>
            <w:tcW w:type="dxa" w:w="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Алгоритм</w:t>
            </w:r>
          </w:p>
        </w:tc>
        <w:tc>
          <w:tcPr>
            <w:tcW w:type="dxa" w:w="24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M-A1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Блок A: Рыночный анализ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Market Sizing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Байесовская регрессия + bottom-up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Считает TAM/SAM/SOM по нише и локации — сколько денег реально в рынке.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M-A2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Блок A: Рыночный анализ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GAP Analysis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Нормативный расчёт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Сравнивает норматив точек с фактом — показывает дефицит или перенасыщение.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M-A3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Блок A: Рыночный анализ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Saturation Index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Composite index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Индекс конкурентной насыщенности ниши 0–100 (0 = пусто, 100 = перегрет).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M-A4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Блок A: Рыночный анализ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Wallet Share Estimator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Ансамблевая регрессия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Доля кошелька населения по MCC-категориям на основе транзакций банка.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M-A5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Блок A: Рыночный анализ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Niche Opportunity Score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XGBoost + weighted scoring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Итоговый скор: потенциал × (1 − насыщенность). Ранжирует ниши для открытия.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M-A6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Блок A: Рыночный анализ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Cross-Niche Cannibalization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Граф-анализ MCC-паттернов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Показывает, насколько новый бизнес «съест» выручку соседних смежных ниш.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M-B1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Блок B: Прогнозирование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Demand Forecasting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LSTM + Facebook Prophet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Прогноз выручки ниши на 12/24/36 мес с доверительным интервалом.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M-B2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Блок B: Прогнозирование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Seasonality Model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STL-декомпозиция + Fourier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Помесячные индексы спроса по нише с учётом Рамадана, Навруза, свадеб.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M-B3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Блок B: Прогнозирование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Population Dynamics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Когортно-компонентная модель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Прогноз демографических сдвигов — кто будет целевой аудиторией через 5 лет.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M-B4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Блок B: Прогнозирование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Income Trend Forecast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ARIMA + макрофакторы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Прогноз доходов и покупательной силы населения на 1/3/5 лет.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M-B5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Блок B: Прогнозирование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MCC Trend Detector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Changepoint detection (PELT)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Выявляет растущие и падающие категории трат — сигнал на вход/выход из ниши.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M-B6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Блок B: Прогнозирование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Registration Forecast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Autoregressive + XGBoost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Прогноз числа новых конкурентов в нише через 12/24 месяца.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M-C1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C: Оценка локации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Location Score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Взвешенный composite index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Интегральный скор привлекательности локации 0–100 из 8 суб-факторов.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M-C2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C: Оценка локации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Traffic Scoring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Gradient boosting + GPS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Оценивает пешеходный и авто-трафик по часам, дням и сезонам.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M-C3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C: Оценка локации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Isochrone Demand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Сетевой анализ OSM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Потребительский потенциал в радиусе 5 и 10 минут пешком.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M-C4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C: Оценка локации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Street Vitality Index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POI + данные регистраций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Доля активных витрин на улице — индикатор «живости» торговой зоны.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M-C5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C: Оценка локации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Anchor Effect Model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Spatial lag + gravity model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Как рядом стоящий рынок, ТЦ или мечеть поднимает трафик к точке.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M-C6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C: Оценка локации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Visibility Score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Геометрический анализ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Насколько хорошо торговая точка видна с дороги и тротуара.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M-D1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Блок D: Финансовая жизнеспособность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Viability Check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Финансовая модель + Monte Carlo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Живучесть бизнес-плана: break-even, runway, вероятность выживания за 2 года.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M-D2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Блок D: Финансовая жизнеспособность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Unit Economics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Cohort analysis на транзакциях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LTV, CAC, payback period и net margin по нише в данной локации.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M-D3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Блок D: Финансовая жизнеспособность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ROI Estimator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DCF + регрессия на МСБ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Срок окупаемости и доходность инвестиций с дисконтированием (NPV).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M-D4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Блок D: Финансовая жизнеспособность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Rental Burden Model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Пороговая модель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Безопасная и критическая доля аренды в выручке — зелёная/жёлтая/красная зона.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M-D5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Блок D: Финансовая жизнеспособность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Cash Flow Simulator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Monte Carlo + сезонность M-B2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Помесячный кэшфлоу на 24 мес с выделением месяцев кассового разрыва.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M-D6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Блок D: Финансовая жизнеспособность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COGS &amp; Margin Estimator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Отраслевые бенчмарки + D36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Себестоимость и маржинальность по отрасли на основе локальных цен.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M-E1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Блок E: Конкуренция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Competitor Intelligence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Spatial query + NLP отзывов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Карта конкурентов в радиусе 300м/1км: рейтинги, цены, слабые места.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M-E2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Блок E: Конкуренция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Churn Prediction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XGBoost на 50K МСБ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Вероятность закрытия бизнеса в первые 2 года с топ-3 факторами риска.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M-E3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Блок E: Конкуренция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Regulatory Risk Score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Rule-based + история штрафов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Риск проверок и штрафов по типу деятельности и локации.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M-E4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Блок E: Конкуренция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Market Entry Barrier Index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Composite index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Высота барьеров входа: финансовых, регуляторных, конкурентных.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6"/>
                <w:szCs w:val="16"/>
              </w:rPr>
              <w:t xml:space="preserve">M-E5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Блок E: Конкуренция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Price Pressure Model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Hedonic pricing + эластичность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Ценовое давление конкурентов и оптимальный ценовой диапазон для ниши.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M-F1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F: Кредитование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Credit Risk Score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LightGBM gradient boosting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Скоринг заёмщика как тройка: клиент × локация × ниша — точнее классического.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M-F2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F: Кредитование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Loan Sizing Recommender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Регрессия на кэшфлоу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Оптимальная сумма кредита исходя из кэшфлоу, маржи и долговой нагрузки.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M-F3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F: Кредитование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DTI Predictor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Временной ряд + регрессия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Прогноз debt-to-income после открытия бизнеса через 6/12/24 мес.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M-F4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F: Кредитование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NPL Early Warning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Isolation Forest + LSTM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Ранний сигнал дефолта за 2–3 месяца до просрочки по транзакционным аномалиям.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M-F5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78350F"/>
                <w:sz w:val="16"/>
                <w:szCs w:val="16"/>
              </w:rPr>
              <w:t xml:space="preserve">Блок F: Кредитование и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Bank Product Recommender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Collaborative filtering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Подбирает лучший продукт банка (кредит/лизинг/гарантия) под профиль МСБ.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M-G1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Блок G: Социальный профиль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Customer Segment Profiler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K-means / DBSCAN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Профиль ЦА: возраст, доход, топ-5 категорий расходов, частота покупок.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M-G2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Блок G: Социальный профиль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Day Population Estimator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Gravity model + GPS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Дневная аудитория локации: жители + приезжие + транзитники по часам.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M-G3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Блок G: Социальный профиль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Consumer Behavior Classifier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NLP на MCC-последоват.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Тип потребителя: «утренний», «premium», «bargain hunter» и т.д.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M-G4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Блок G: Социальный профиль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Brand Affinity Model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Collaborative filtering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Насколько аудитория лояльна к сетям vs независимым точкам в нише.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M-G5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Блок G: Социальный профиль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Spending Power Index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Spatial interpolation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Тепловая карта покупательной силы по кварталам и улицам района.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Конфиденциально ·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35 моделей · 7 блоков · Слой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AI Business Platform — Каталог моделей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E3A5F"/>
        <w:sz w:val="16"/>
        <w:szCs w:val="16"/>
      </w:rPr>
      <w:t xml:space="preserve">Коммерческий банк Узбекистана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2026-04-09T11:37:57.764Z</dcterms:created>
  <dcterms:modified xsi:type="dcterms:W3CDTF">2026-04-09T11:37:57.764Z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