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In order to chase the phase of algorithm,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therefore the color of node changed. Therefore, the color black or gray means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002060"/>
          <w:shd w:val="clear" w:color="FFFFFF" w:fill="D9D9D9"/>
        </w:rPr>
        <w:t xml:space="preserve">The white node means that the node has not been visited before. The black node u means that all nodes that connected with node u have </w:t>
      </w:r>
      <w:r>
        <w:rPr>
          <w:rFonts w:hint="default"/>
          <w:i/>
          <w:iCs/>
          <w:color w:val="002060"/>
          <w:shd w:val="clear" w:color="FFFFFF" w:fill="D9D9D9"/>
        </w:rPr>
        <w:t>already</w:t>
      </w:r>
      <w:r>
        <w:rPr>
          <w:rFonts w:hint="default"/>
          <w:i/>
          <w:iCs/>
          <w:color w:val="002060"/>
          <w:shd w:val="clear" w:color="FFFFFF" w:fill="D9D9D9"/>
        </w:rPr>
        <w:t xml:space="preserve">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002060"/>
          <w:shd w:val="clear" w:color="FFFFFF" w:fill="D9D9D9"/>
        </w:rPr>
        <w:t>Adjacent Linked List Structure</w:t>
      </w:r>
      <w:r>
        <w:rPr>
          <w:rFonts w:hint="default"/>
        </w:rPr>
        <w:t xml:space="preserve"> has been used. Also we keep three extra information for each node, which are </w:t>
      </w:r>
      <w:r>
        <w:rPr>
          <w:rFonts w:hint="default"/>
          <w:i/>
          <w:iCs/>
          <w:color w:val="00206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the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The color of the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distance of the node v = s.distance + 1</w:t>
      </w:r>
    </w:p>
    <w:p>
      <w:pPr>
        <w:numPr>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parent node of node v = s</w:t>
      </w:r>
    </w:p>
    <w:p>
      <w:pPr>
        <w:numPr>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color of node v = gray</w:t>
      </w:r>
    </w:p>
    <w:p>
      <w:pPr>
        <w:numPr>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t>Search Tree. We just add the node into the queue and update its related information.</w:t>
      </w:r>
    </w:p>
    <w:p>
      <w:pPr>
        <w:numPr>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 xml:space="preserve">After finishing finding all nodes which have been connected with node s, then we need to mark the color of node s, which equals to black. </w:t>
      </w:r>
    </w:p>
    <w:p>
      <w:pPr>
        <w:numPr>
          <w:numId w:val="0"/>
        </w:numPr>
        <w:ind w:leftChars="0"/>
        <w:rPr>
          <w:rFonts w:hint="default"/>
        </w:rPr>
      </w:pPr>
    </w:p>
    <w:p>
      <w:pPr>
        <w:numPr>
          <w:ilvl w:val="0"/>
          <w:numId w:val="1"/>
        </w:numPr>
        <w:ind w:left="425" w:leftChars="0" w:hanging="425" w:firstLineChars="0"/>
        <w:rPr>
          <w:rFonts w:hint="default"/>
        </w:rPr>
      </w:pPr>
      <w:r>
        <w:rPr>
          <w:rFonts w:hint="default"/>
        </w:rPr>
        <w:t xml:space="preserve">Then, 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w:t>
      </w:r>
      <w:r>
        <w:rPr>
          <w:rFonts w:hint="default"/>
          <w:i/>
          <w:iCs/>
          <w:color w:val="002060"/>
          <w:shd w:val="clear" w:color="FFFFFF" w:fill="D9D9D9"/>
        </w:rPr>
        <w:t>the distance of the node v, the parent node of node v, and the color of node v.</w:t>
      </w:r>
      <w:r>
        <w:rPr>
          <w:rFonts w:hint="default"/>
        </w:rPr>
        <w:t xml:space="preserve"> </w:t>
      </w:r>
    </w:p>
    <w:p>
      <w:pPr>
        <w:numPr>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we need to update the color black of the node.</w:t>
      </w:r>
    </w:p>
    <w:p>
      <w:pPr>
        <w:widowControl w:val="0"/>
        <w:numPr>
          <w:numId w:val="0"/>
        </w:numPr>
        <w:jc w:val="both"/>
        <w:rPr>
          <w:rFonts w:hint="default"/>
        </w:rPr>
      </w:pPr>
    </w:p>
    <w:p>
      <w:pPr>
        <w:rPr>
          <w:rFonts w:hint="default"/>
          <w:i/>
          <w:iCs/>
          <w:highlight w:val="yellow"/>
        </w:rPr>
      </w:pPr>
      <w:r>
        <w:rPr>
          <w:rFonts w:hint="default"/>
          <w:i/>
          <w:iCs/>
          <w:highlight w:val="yellow"/>
        </w:rPr>
        <w:t>Example:</w:t>
      </w:r>
    </w:p>
    <w:p>
      <w:pPr>
        <w:widowControl w:val="0"/>
        <w:numPr>
          <w:numId w:val="0"/>
        </w:numPr>
        <w:jc w:val="both"/>
        <w:rPr>
          <w:rFonts w:hint="default"/>
        </w:rPr>
      </w:pPr>
      <w:r>
        <w:rPr>
          <w:rFonts w:hint="default"/>
        </w:rPr>
        <w:t xml:space="preserve">The Graph is just as below, here totally have 8 nodes and 10 edges. Through finding all nodes which have been connected with node s, and mark the color of node s, we can finish Breadth First Search Algorithm on the Graph below. </w:t>
      </w:r>
    </w:p>
    <w:p>
      <w:pPr>
        <w:numPr>
          <w:numId w:val="0"/>
        </w:numPr>
        <w:ind w:leftChars="0"/>
        <w:jc w:val="center"/>
        <w:rPr>
          <w:rFonts w:hint="default"/>
        </w:rPr>
      </w:pPr>
      <w:r>
        <w:rPr>
          <w:rFonts w:hint="default"/>
        </w:rPr>
        <w:drawing>
          <wp:inline distT="0" distB="0" distL="114300" distR="114300">
            <wp:extent cx="3224530" cy="1263650"/>
            <wp:effectExtent l="0" t="0" r="1270" b="6350"/>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3224530" cy="1263650"/>
                    </a:xfrm>
                    <a:prstGeom prst="rect">
                      <a:avLst/>
                    </a:prstGeom>
                  </pic:spPr>
                </pic:pic>
              </a:graphicData>
            </a:graphic>
          </wp:inline>
        </w:drawing>
      </w:r>
    </w:p>
    <w:p>
      <w:pPr>
        <w:numPr>
          <w:numId w:val="0"/>
        </w:numPr>
        <w:ind w:leftChars="0"/>
        <w:jc w:val="both"/>
        <w:rPr>
          <w:rFonts w:hint="default"/>
          <w:i/>
          <w:iCs/>
          <w:highlight w:val="yellow"/>
        </w:rPr>
      </w:pPr>
      <w:r>
        <w:rPr>
          <w:rFonts w:hint="default"/>
          <w:i/>
          <w:iCs/>
          <w:highlight w:val="yellow"/>
        </w:rPr>
        <w:t>Step 1:</w:t>
      </w:r>
    </w:p>
    <w:p>
      <w:pPr>
        <w:numPr>
          <w:numId w:val="0"/>
        </w:numPr>
        <w:ind w:leftChars="0"/>
        <w:jc w:val="both"/>
        <w:rPr>
          <w:rFonts w:hint="default"/>
        </w:rPr>
      </w:pPr>
      <w:r>
        <w:rPr>
          <w:rFonts w:hint="default"/>
        </w:rPr>
        <w:t>Initialize all nodes with extra information, including the distance, the parenting node, and the color of the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numId w:val="0"/>
              </w:numPr>
              <w:jc w:val="center"/>
              <w:rPr>
                <w:rFonts w:hint="default"/>
                <w:vertAlign w:val="baseline"/>
              </w:rPr>
            </w:pPr>
          </w:p>
        </w:tc>
        <w:tc>
          <w:tcPr>
            <w:tcW w:w="913"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Dis</w:t>
            </w:r>
          </w:p>
        </w:tc>
        <w:tc>
          <w:tcPr>
            <w:tcW w:w="913" w:type="dxa"/>
            <w:vAlign w:val="center"/>
          </w:tcPr>
          <w:p>
            <w:pPr>
              <w:numPr>
                <w:numId w:val="0"/>
              </w:numPr>
              <w:jc w:val="center"/>
              <w:rPr>
                <w:rFonts w:hint="default"/>
                <w:vertAlign w:val="baseline"/>
              </w:rPr>
            </w:pPr>
            <w:r>
              <w:rPr>
                <w:rFonts w:hint="default"/>
                <w:vertAlign w:val="baseline"/>
              </w:rPr>
              <w:t>Infinite</w:t>
            </w:r>
          </w:p>
        </w:tc>
        <w:tc>
          <w:tcPr>
            <w:tcW w:w="935" w:type="dxa"/>
            <w:vAlign w:val="center"/>
          </w:tcPr>
          <w:p>
            <w:pPr>
              <w:numPr>
                <w:numId w:val="0"/>
              </w:numPr>
              <w:jc w:val="center"/>
              <w:rPr>
                <w:rFonts w:hint="default"/>
                <w:vertAlign w:val="baseline"/>
              </w:rPr>
            </w:pPr>
            <w:r>
              <w:rPr>
                <w:rFonts w:hint="default"/>
                <w:vertAlign w:val="baseline"/>
              </w:rPr>
              <w:t>Infinite</w:t>
            </w:r>
          </w:p>
        </w:tc>
        <w:tc>
          <w:tcPr>
            <w:tcW w:w="908" w:type="dxa"/>
            <w:vAlign w:val="center"/>
          </w:tcPr>
          <w:p>
            <w:pPr>
              <w:numPr>
                <w:numId w:val="0"/>
              </w:numPr>
              <w:jc w:val="center"/>
              <w:rPr>
                <w:rFonts w:hint="default"/>
                <w:vertAlign w:val="baseline"/>
              </w:rPr>
            </w:pPr>
            <w:r>
              <w:rPr>
                <w:rFonts w:hint="default"/>
                <w:vertAlign w:val="baseline"/>
              </w:rPr>
              <w:t>0</w:t>
            </w:r>
          </w:p>
        </w:tc>
        <w:tc>
          <w:tcPr>
            <w:tcW w:w="962" w:type="dxa"/>
            <w:vAlign w:val="center"/>
          </w:tcPr>
          <w:p>
            <w:pPr>
              <w:numPr>
                <w:numId w:val="0"/>
              </w:numPr>
              <w:jc w:val="center"/>
              <w:rPr>
                <w:rFonts w:hint="default"/>
                <w:vertAlign w:val="baseline"/>
              </w:rPr>
            </w:pPr>
            <w:r>
              <w:rPr>
                <w:rFonts w:hint="default"/>
                <w:vertAlign w:val="baseline"/>
              </w:rPr>
              <w:t>Infinite</w:t>
            </w:r>
          </w:p>
        </w:tc>
        <w:tc>
          <w:tcPr>
            <w:tcW w:w="935" w:type="dxa"/>
            <w:vAlign w:val="center"/>
          </w:tcPr>
          <w:p>
            <w:pPr>
              <w:numPr>
                <w:numId w:val="0"/>
              </w:numPr>
              <w:jc w:val="center"/>
              <w:rPr>
                <w:rFonts w:hint="default"/>
                <w:vertAlign w:val="baseline"/>
              </w:rPr>
            </w:pPr>
            <w:r>
              <w:rPr>
                <w:rFonts w:hint="default"/>
                <w:vertAlign w:val="baseline"/>
              </w:rPr>
              <w:t>Infinite</w:t>
            </w:r>
          </w:p>
        </w:tc>
        <w:tc>
          <w:tcPr>
            <w:tcW w:w="936" w:type="dxa"/>
            <w:vAlign w:val="center"/>
          </w:tcPr>
          <w:p>
            <w:pPr>
              <w:numPr>
                <w:numId w:val="0"/>
              </w:numPr>
              <w:jc w:val="center"/>
              <w:rPr>
                <w:rFonts w:hint="default"/>
                <w:vertAlign w:val="baseline"/>
              </w:rPr>
            </w:pPr>
            <w:r>
              <w:rPr>
                <w:rFonts w:hint="default"/>
                <w:vertAlign w:val="baseline"/>
              </w:rPr>
              <w:t>Infinite</w:t>
            </w:r>
          </w:p>
        </w:tc>
        <w:tc>
          <w:tcPr>
            <w:tcW w:w="937" w:type="dxa"/>
            <w:vAlign w:val="center"/>
          </w:tcPr>
          <w:p>
            <w:pPr>
              <w:numPr>
                <w:numId w:val="0"/>
              </w:numPr>
              <w:jc w:val="center"/>
              <w:rPr>
                <w:rFonts w:hint="default"/>
                <w:vertAlign w:val="baseline"/>
              </w:rPr>
            </w:pPr>
            <w:r>
              <w:rPr>
                <w:rFonts w:hint="default"/>
                <w:vertAlign w:val="baseline"/>
              </w:rPr>
              <w:t>Infinite</w:t>
            </w:r>
          </w:p>
        </w:tc>
        <w:tc>
          <w:tcPr>
            <w:tcW w:w="937" w:type="dxa"/>
            <w:vAlign w:val="center"/>
          </w:tcPr>
          <w:p>
            <w:pPr>
              <w:numPr>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Parent</w:t>
            </w:r>
          </w:p>
        </w:tc>
        <w:tc>
          <w:tcPr>
            <w:tcW w:w="913" w:type="dxa"/>
            <w:vAlign w:val="center"/>
          </w:tcPr>
          <w:p>
            <w:pPr>
              <w:numPr>
                <w:numId w:val="0"/>
              </w:numPr>
              <w:jc w:val="center"/>
              <w:rPr>
                <w:rFonts w:hint="default"/>
                <w:vertAlign w:val="baseline"/>
              </w:rPr>
            </w:pPr>
            <w:r>
              <w:rPr>
                <w:rFonts w:hint="default"/>
                <w:vertAlign w:val="baseline"/>
              </w:rPr>
              <w:t>NIL</w:t>
            </w:r>
          </w:p>
        </w:tc>
        <w:tc>
          <w:tcPr>
            <w:tcW w:w="935" w:type="dxa"/>
            <w:vAlign w:val="center"/>
          </w:tcPr>
          <w:p>
            <w:pPr>
              <w:numPr>
                <w:numId w:val="0"/>
              </w:numPr>
              <w:jc w:val="center"/>
              <w:rPr>
                <w:rFonts w:hint="default"/>
                <w:vertAlign w:val="baseline"/>
              </w:rPr>
            </w:pPr>
            <w:r>
              <w:rPr>
                <w:rFonts w:hint="default"/>
                <w:vertAlign w:val="baseline"/>
              </w:rPr>
              <w:t>NIL</w:t>
            </w:r>
          </w:p>
        </w:tc>
        <w:tc>
          <w:tcPr>
            <w:tcW w:w="908" w:type="dxa"/>
            <w:vAlign w:val="center"/>
          </w:tcPr>
          <w:p>
            <w:pPr>
              <w:numPr>
                <w:numId w:val="0"/>
              </w:numPr>
              <w:jc w:val="center"/>
              <w:rPr>
                <w:rFonts w:hint="default"/>
                <w:vertAlign w:val="baseline"/>
              </w:rPr>
            </w:pPr>
            <w:r>
              <w:rPr>
                <w:rFonts w:hint="default"/>
                <w:vertAlign w:val="baseline"/>
              </w:rPr>
              <w:t>NIL</w:t>
            </w:r>
          </w:p>
        </w:tc>
        <w:tc>
          <w:tcPr>
            <w:tcW w:w="962" w:type="dxa"/>
            <w:vAlign w:val="center"/>
          </w:tcPr>
          <w:p>
            <w:pPr>
              <w:numPr>
                <w:numId w:val="0"/>
              </w:numPr>
              <w:jc w:val="center"/>
              <w:rPr>
                <w:rFonts w:hint="default"/>
                <w:vertAlign w:val="baseline"/>
              </w:rPr>
            </w:pPr>
            <w:r>
              <w:rPr>
                <w:rFonts w:hint="default"/>
                <w:vertAlign w:val="baseline"/>
              </w:rPr>
              <w:t>NIL</w:t>
            </w:r>
          </w:p>
        </w:tc>
        <w:tc>
          <w:tcPr>
            <w:tcW w:w="935" w:type="dxa"/>
            <w:vAlign w:val="center"/>
          </w:tcPr>
          <w:p>
            <w:pPr>
              <w:numPr>
                <w:numId w:val="0"/>
              </w:numPr>
              <w:jc w:val="center"/>
              <w:rPr>
                <w:rFonts w:hint="default"/>
                <w:vertAlign w:val="baseline"/>
              </w:rPr>
            </w:pPr>
            <w:r>
              <w:rPr>
                <w:rFonts w:hint="default"/>
                <w:vertAlign w:val="baseline"/>
              </w:rPr>
              <w:t>NIL</w:t>
            </w:r>
          </w:p>
        </w:tc>
        <w:tc>
          <w:tcPr>
            <w:tcW w:w="936" w:type="dxa"/>
            <w:vAlign w:val="center"/>
          </w:tcPr>
          <w:p>
            <w:pPr>
              <w:numPr>
                <w:numId w:val="0"/>
              </w:numPr>
              <w:jc w:val="center"/>
              <w:rPr>
                <w:rFonts w:hint="default"/>
                <w:vertAlign w:val="baseline"/>
              </w:rPr>
            </w:pPr>
            <w:r>
              <w:rPr>
                <w:rFonts w:hint="default"/>
                <w:vertAlign w:val="baseline"/>
              </w:rPr>
              <w:t>NIL</w:t>
            </w:r>
          </w:p>
        </w:tc>
        <w:tc>
          <w:tcPr>
            <w:tcW w:w="937" w:type="dxa"/>
            <w:vAlign w:val="center"/>
          </w:tcPr>
          <w:p>
            <w:pPr>
              <w:numPr>
                <w:numId w:val="0"/>
              </w:numPr>
              <w:jc w:val="center"/>
              <w:rPr>
                <w:rFonts w:hint="default"/>
                <w:vertAlign w:val="baseline"/>
              </w:rPr>
            </w:pPr>
            <w:r>
              <w:rPr>
                <w:rFonts w:hint="default"/>
                <w:vertAlign w:val="baseline"/>
              </w:rPr>
              <w:t>NIL</w:t>
            </w:r>
          </w:p>
        </w:tc>
        <w:tc>
          <w:tcPr>
            <w:tcW w:w="937" w:type="dxa"/>
            <w:vAlign w:val="center"/>
          </w:tcPr>
          <w:p>
            <w:pPr>
              <w:numPr>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numId w:val="0"/>
              </w:numPr>
              <w:jc w:val="center"/>
              <w:rPr>
                <w:rFonts w:hint="default"/>
                <w:vertAlign w:val="baseline"/>
              </w:rPr>
            </w:pPr>
            <w:r>
              <w:rPr>
                <w:rFonts w:hint="default"/>
                <w:vertAlign w:val="baseline"/>
              </w:rPr>
              <w:t>Color</w:t>
            </w:r>
          </w:p>
        </w:tc>
        <w:tc>
          <w:tcPr>
            <w:tcW w:w="913" w:type="dxa"/>
            <w:vAlign w:val="center"/>
          </w:tcPr>
          <w:p>
            <w:pPr>
              <w:numPr>
                <w:numId w:val="0"/>
              </w:numPr>
              <w:jc w:val="center"/>
              <w:rPr>
                <w:rFonts w:hint="default"/>
                <w:vertAlign w:val="baseline"/>
              </w:rPr>
            </w:pPr>
            <w:r>
              <w:rPr>
                <w:rFonts w:hint="default"/>
                <w:vertAlign w:val="baseline"/>
              </w:rPr>
              <w:t>White</w:t>
            </w:r>
          </w:p>
        </w:tc>
        <w:tc>
          <w:tcPr>
            <w:tcW w:w="935" w:type="dxa"/>
            <w:vAlign w:val="center"/>
          </w:tcPr>
          <w:p>
            <w:pPr>
              <w:numPr>
                <w:numId w:val="0"/>
              </w:numPr>
              <w:jc w:val="center"/>
              <w:rPr>
                <w:rFonts w:hint="default"/>
                <w:vertAlign w:val="baseline"/>
              </w:rPr>
            </w:pPr>
            <w:r>
              <w:rPr>
                <w:rFonts w:hint="default"/>
                <w:vertAlign w:val="baseline"/>
              </w:rPr>
              <w:t>White</w:t>
            </w:r>
          </w:p>
        </w:tc>
        <w:tc>
          <w:tcPr>
            <w:tcW w:w="908" w:type="dxa"/>
            <w:vAlign w:val="center"/>
          </w:tcPr>
          <w:p>
            <w:pPr>
              <w:numPr>
                <w:numId w:val="0"/>
              </w:numPr>
              <w:jc w:val="center"/>
              <w:rPr>
                <w:rFonts w:hint="default"/>
                <w:vertAlign w:val="baseline"/>
              </w:rPr>
            </w:pPr>
            <w:r>
              <w:rPr>
                <w:rFonts w:hint="default"/>
                <w:vertAlign w:val="baseline"/>
              </w:rPr>
              <w:t>White</w:t>
            </w:r>
          </w:p>
        </w:tc>
        <w:tc>
          <w:tcPr>
            <w:tcW w:w="962" w:type="dxa"/>
            <w:vAlign w:val="center"/>
          </w:tcPr>
          <w:p>
            <w:pPr>
              <w:numPr>
                <w:numId w:val="0"/>
              </w:numPr>
              <w:jc w:val="center"/>
              <w:rPr>
                <w:rFonts w:hint="default"/>
                <w:vertAlign w:val="baseline"/>
              </w:rPr>
            </w:pPr>
            <w:r>
              <w:rPr>
                <w:rFonts w:hint="default"/>
                <w:vertAlign w:val="baseline"/>
              </w:rPr>
              <w:t>White</w:t>
            </w:r>
          </w:p>
        </w:tc>
        <w:tc>
          <w:tcPr>
            <w:tcW w:w="935" w:type="dxa"/>
            <w:vAlign w:val="center"/>
          </w:tcPr>
          <w:p>
            <w:pPr>
              <w:numPr>
                <w:numId w:val="0"/>
              </w:numPr>
              <w:jc w:val="center"/>
              <w:rPr>
                <w:rFonts w:hint="default"/>
                <w:vertAlign w:val="baseline"/>
              </w:rPr>
            </w:pPr>
            <w:r>
              <w:rPr>
                <w:rFonts w:hint="default"/>
                <w:vertAlign w:val="baseline"/>
              </w:rPr>
              <w:t>White</w:t>
            </w:r>
          </w:p>
        </w:tc>
        <w:tc>
          <w:tcPr>
            <w:tcW w:w="936" w:type="dxa"/>
            <w:vAlign w:val="center"/>
          </w:tcPr>
          <w:p>
            <w:pPr>
              <w:numPr>
                <w:numId w:val="0"/>
              </w:numPr>
              <w:jc w:val="center"/>
              <w:rPr>
                <w:rFonts w:hint="default"/>
                <w:vertAlign w:val="baseline"/>
              </w:rPr>
            </w:pPr>
            <w:r>
              <w:rPr>
                <w:rFonts w:hint="default"/>
                <w:vertAlign w:val="baseline"/>
              </w:rPr>
              <w:t>White</w:t>
            </w:r>
          </w:p>
        </w:tc>
        <w:tc>
          <w:tcPr>
            <w:tcW w:w="937" w:type="dxa"/>
            <w:vAlign w:val="center"/>
          </w:tcPr>
          <w:p>
            <w:pPr>
              <w:numPr>
                <w:numId w:val="0"/>
              </w:numPr>
              <w:jc w:val="center"/>
              <w:rPr>
                <w:rFonts w:hint="default"/>
                <w:vertAlign w:val="baseline"/>
              </w:rPr>
            </w:pPr>
            <w:r>
              <w:rPr>
                <w:rFonts w:hint="default"/>
                <w:vertAlign w:val="baseline"/>
              </w:rPr>
              <w:t>White</w:t>
            </w:r>
          </w:p>
        </w:tc>
        <w:tc>
          <w:tcPr>
            <w:tcW w:w="937" w:type="dxa"/>
            <w:vAlign w:val="center"/>
          </w:tcPr>
          <w:p>
            <w:pPr>
              <w:numPr>
                <w:numId w:val="0"/>
              </w:numPr>
              <w:jc w:val="center"/>
              <w:rPr>
                <w:rFonts w:hint="default"/>
                <w:vertAlign w:val="baseline"/>
              </w:rPr>
            </w:pPr>
            <w:r>
              <w:rPr>
                <w:rFonts w:hint="default"/>
                <w:vertAlign w:val="baseline"/>
              </w:rPr>
              <w:t>White</w:t>
            </w:r>
          </w:p>
        </w:tc>
      </w:tr>
    </w:tbl>
    <w:p>
      <w:pPr>
        <w:numPr>
          <w:numId w:val="0"/>
        </w:numPr>
        <w:ind w:leftChars="0"/>
        <w:jc w:val="both"/>
        <w:rPr>
          <w:rFonts w:hint="default"/>
        </w:rPr>
      </w:pPr>
      <w:r>
        <w:rPr>
          <w:rFonts w:hint="default"/>
        </w:rPr>
        <w:t>Here, we use 0 to stand for the 0 distance between source node s and source node s. Use 8 to stand for Infinite distance between the node and the source node.</w:t>
      </w:r>
      <w:bookmarkStart w:id="0" w:name="_GoBack"/>
      <w:bookmarkEnd w:id="0"/>
    </w:p>
    <w:p>
      <w:pPr>
        <w:numPr>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5"/>
                    <a:stretch>
                      <a:fillRect/>
                    </a:stretch>
                  </pic:blipFill>
                  <pic:spPr>
                    <a:xfrm>
                      <a:off x="0" y="0"/>
                      <a:ext cx="3297555" cy="12922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FFFDDFD"/>
    <w:rsid w:val="19C889E5"/>
    <w:rsid w:val="1EEFBB14"/>
    <w:rsid w:val="2F2B64AF"/>
    <w:rsid w:val="31FFE1F3"/>
    <w:rsid w:val="33ECF59D"/>
    <w:rsid w:val="39FF5C66"/>
    <w:rsid w:val="3EE9AFAF"/>
    <w:rsid w:val="3FAD6D14"/>
    <w:rsid w:val="3FCF7A06"/>
    <w:rsid w:val="3FF4DC29"/>
    <w:rsid w:val="4FFEADC8"/>
    <w:rsid w:val="50C71B7A"/>
    <w:rsid w:val="5B67CC55"/>
    <w:rsid w:val="5E457618"/>
    <w:rsid w:val="62BF57E8"/>
    <w:rsid w:val="6564E458"/>
    <w:rsid w:val="6CBD7E85"/>
    <w:rsid w:val="6DBE91AE"/>
    <w:rsid w:val="6EEF9510"/>
    <w:rsid w:val="6EF7EDE7"/>
    <w:rsid w:val="6F7D66E8"/>
    <w:rsid w:val="72FFD573"/>
    <w:rsid w:val="73FE2FE7"/>
    <w:rsid w:val="777BB9BE"/>
    <w:rsid w:val="7BD7789C"/>
    <w:rsid w:val="7BF2E676"/>
    <w:rsid w:val="7C3670F5"/>
    <w:rsid w:val="7D70053E"/>
    <w:rsid w:val="7DBF1B9B"/>
    <w:rsid w:val="7DCBE343"/>
    <w:rsid w:val="7E530DF4"/>
    <w:rsid w:val="7EFC7080"/>
    <w:rsid w:val="7F6971CD"/>
    <w:rsid w:val="7F7F3D7A"/>
    <w:rsid w:val="7F7F62A9"/>
    <w:rsid w:val="7FA7A7D0"/>
    <w:rsid w:val="7FB49871"/>
    <w:rsid w:val="7FFD7C43"/>
    <w:rsid w:val="923C3A93"/>
    <w:rsid w:val="9FEECB8D"/>
    <w:rsid w:val="AD6E2ED1"/>
    <w:rsid w:val="AF764893"/>
    <w:rsid w:val="AFAFBA3B"/>
    <w:rsid w:val="AFDFC28C"/>
    <w:rsid w:val="B37F6F2C"/>
    <w:rsid w:val="B8BF4A95"/>
    <w:rsid w:val="BE7C33FA"/>
    <w:rsid w:val="BF5575B1"/>
    <w:rsid w:val="C5F78694"/>
    <w:rsid w:val="C73A6406"/>
    <w:rsid w:val="C8383E47"/>
    <w:rsid w:val="CE79D51E"/>
    <w:rsid w:val="CEBA1930"/>
    <w:rsid w:val="D6F42A57"/>
    <w:rsid w:val="DCEDC354"/>
    <w:rsid w:val="DCFFCE9D"/>
    <w:rsid w:val="DDBFF139"/>
    <w:rsid w:val="DFD70EF8"/>
    <w:rsid w:val="DFE7DBF0"/>
    <w:rsid w:val="DFEC157D"/>
    <w:rsid w:val="DFF9DEFC"/>
    <w:rsid w:val="E3BB25A2"/>
    <w:rsid w:val="E7EC134C"/>
    <w:rsid w:val="E7FFB182"/>
    <w:rsid w:val="EDF7FE74"/>
    <w:rsid w:val="EDFF4EAA"/>
    <w:rsid w:val="EE6D5197"/>
    <w:rsid w:val="EF991E89"/>
    <w:rsid w:val="EFBF5F97"/>
    <w:rsid w:val="EFCE3A9C"/>
    <w:rsid w:val="EFFF252A"/>
    <w:rsid w:val="F5FBD1F3"/>
    <w:rsid w:val="F71DE85C"/>
    <w:rsid w:val="F73D672A"/>
    <w:rsid w:val="F7BFE732"/>
    <w:rsid w:val="F90FFA03"/>
    <w:rsid w:val="FB7F7F68"/>
    <w:rsid w:val="FBFE34FB"/>
    <w:rsid w:val="FDDAE676"/>
    <w:rsid w:val="FDFF5136"/>
    <w:rsid w:val="FDFFDDA6"/>
    <w:rsid w:val="FEBFA1C5"/>
    <w:rsid w:val="FEFF7DFB"/>
    <w:rsid w:val="FFB6EFDC"/>
    <w:rsid w:val="FFBBEEFF"/>
    <w:rsid w:val="FFBDE916"/>
    <w:rsid w:val="FFBE6564"/>
    <w:rsid w:val="FFFB98E0"/>
    <w:rsid w:val="FFFF43C3"/>
    <w:rsid w:val="FFFFA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2020-06-15T20:07:00Z</dcterms:created>
  <dc:creator>ningjuan</dc:creator>
  <cp:lastModifiedBy>ningjuan</cp:lastModifiedBy>
  <dcterms:modified xsi:type="dcterms:W3CDTF">2020-06-15T21:52:28Z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