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en-US"/>
        </w:rPr>
      </w:pPr>
      <w:r>
        <w:rPr>
          <w:lang w:eastAsia="en-US"/>
        </w:rPr>
        <w:t>Chapter 3.4 Multi - Version Index</w:t>
      </w: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3.4.1 Application of Multi - Version Index</w:t>
      </w: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3.4.2 Range Query by Traditional Index</w:t>
      </w: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3.4.3 The Nearest Neighbor Query by Traditional Index</w:t>
      </w:r>
    </w:p>
    <w:p>
      <w:pPr>
        <w:pStyle w:val="3"/>
        <w:rPr>
          <w:sz w:val="24"/>
          <w:lang w:eastAsia="en-US"/>
        </w:rPr>
      </w:pPr>
      <w:r>
        <w:rPr>
          <w:sz w:val="24"/>
          <w:lang w:eastAsia="en-US"/>
        </w:rPr>
        <w:t>Chapter 3.4.4 Overview of Multi - Index Index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337B1"/>
    <w:rsid w:val="5D1DC3E9"/>
    <w:rsid w:val="5FD737E4"/>
    <w:rsid w:val="7FF337B1"/>
    <w:rsid w:val="EE3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2020-04-28T23:30:00Z</dcterms:created>
  <dc:creator>ningjuan</dc:creator>
  <cp:lastModifiedBy>ningjuan</cp:lastModifiedBy>
  <dcterms:modified xsi:type="dcterms:W3CDTF">2020-04-28T23:36:14Z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