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‘flag’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When the Buffer Management assigns a new block, then it will rotates according to the clockwise direction, find out the first 1. When it goes through the block with the flag 1, then just set it as 0. Therefore, if one buffer block has been visited by the pointer, then its flag has been set as 0. Then the pointer will continue another complete rotation to find the buffer block with the flag 0. If the buffer block keeps the flag 0, then this flag 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bookmarkStart w:id="0" w:name="_GoBack"/>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bookmarkEnd w:id="0"/>
    </w:p>
    <w:p>
      <w:pPr>
        <w:rPr>
          <w:b/>
          <w:bCs/>
          <w:i/>
          <w:iCs/>
          <w:highlight w:val="yellow"/>
        </w:rPr>
      </w:pPr>
      <w:r>
        <w:rPr>
          <w:b/>
          <w:bCs/>
          <w:i/>
          <w:iCs/>
          <w:highlight w:val="yellow"/>
        </w:rPr>
        <w:t>System Control</w:t>
      </w:r>
    </w:p>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EFE8067"/>
    <w:rsid w:val="3F7E80D9"/>
    <w:rsid w:val="5BECAD4F"/>
    <w:rsid w:val="5C9929B1"/>
    <w:rsid w:val="66DD0F2B"/>
    <w:rsid w:val="66FFECB5"/>
    <w:rsid w:val="67FEFC61"/>
    <w:rsid w:val="6D2AC9EE"/>
    <w:rsid w:val="6DFF7F6E"/>
    <w:rsid w:val="6FDE7C73"/>
    <w:rsid w:val="73EE7A45"/>
    <w:rsid w:val="75FA0EDA"/>
    <w:rsid w:val="7BC6A51A"/>
    <w:rsid w:val="7BFDC7A2"/>
    <w:rsid w:val="7F37BCA7"/>
    <w:rsid w:val="BBAD348B"/>
    <w:rsid w:val="BDEF9727"/>
    <w:rsid w:val="BFCD009A"/>
    <w:rsid w:val="CF6D312A"/>
    <w:rsid w:val="D7EF3A36"/>
    <w:rsid w:val="DFBFC894"/>
    <w:rsid w:val="E9DA6DD5"/>
    <w:rsid w:val="EBE729CF"/>
    <w:rsid w:val="EDFC8DD5"/>
    <w:rsid w:val="FB7BC82C"/>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2020-01-02T00:58:00Z</dcterms:created>
  <dc:creator>ning juan</dc:creator>
  <cp:lastModifiedBy>ningjuan</cp:lastModifiedBy>
  <dcterms:modified xsi:type="dcterms:W3CDTF">2020-02-13T20:22:07Z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