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PayNivesh Payments Bank Limited</w:t>
      </w:r>
    </w:p>
    <w:p>
      <w:pPr>
        <w:spacing w:after="200"/>
        <w:jc w:val="center"/>
      </w:pPr>
      <w:r>
        <w:rPr>
          <w:b w:val="false"/>
          <w:bCs w:val="false"/>
          <w:i/>
          <w:iCs/>
          <w:color w:val="595959"/>
          <w:sz w:val="20"/>
          <w:szCs w:val="20"/>
        </w:rPr>
        <w:t xml:space="preserve">Payments Bank (no lending; deposit cap per licence)</w:t>
      </w:r>
    </w:p>
    <w:p>
      <w:pPr>
        <w:spacing w:after="60"/>
        <w:jc w:val="center"/>
      </w:pPr>
      <w:r>
        <w:rPr>
          <w:b/>
          <w:bCs/>
          <w:color w:val="262626"/>
          <w:sz w:val="22"/>
          <w:szCs w:val="22"/>
        </w:rPr>
        <w:t xml:space="preserve">February 17 to 26, 2025</w:t>
      </w:r>
    </w:p>
    <w:p>
      <w:pPr>
        <w:spacing w:after="400"/>
        <w:jc w:val="center"/>
      </w:pPr>
      <w:r>
        <w:rPr>
          <w:b w:val="false"/>
          <w:bCs w:val="false"/>
          <w:color w:val="595959"/>
          <w:sz w:val="18"/>
          <w:szCs w:val="18"/>
        </w:rPr>
        <w:t xml:space="preserve">Examination reference: DoS.CO.CSITEG.ITE.PB.0061/2024-25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PayNivesh Payments Bank Limited (Payments Bank) was conducted February 17 to 26,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Master Direction DoS.CO.CSITEG/SEC.7/31.01.015/2023-24 on Information Technology Governance, Risk, Controls and Assurance Practices dated November 7, 2023.</w:t>
      </w:r>
    </w:p>
    <w:p>
      <w:pPr>
        <w:pStyle w:val="ListParagraph"/>
        <w:numPr>
          <w:ilvl w:val="0"/>
          <w:numId w:val="2"/>
        </w:numPr>
        <w:spacing w:after="80" w:line="264"/>
      </w:pPr>
      <w:r>
        <w:t xml:space="preserve">RBI Circular DBS.CO/CSITE/BC.11/33.01.001/2015-16 on Cyber Security Framework in Banks dated June 2, 2016.</w:t>
      </w:r>
    </w:p>
    <w:p>
      <w:pPr>
        <w:pStyle w:val="ListParagraph"/>
        <w:numPr>
          <w:ilvl w:val="0"/>
          <w:numId w:val="2"/>
        </w:numPr>
        <w:spacing w:after="80" w:line="264"/>
      </w:pPr>
      <w:r>
        <w:t xml:space="preserve">RBI Master Direction DoS.CO.CSITE.SEC.No.1852/31.01.015/2020-21 on Digital Payment Security Controls dated February 18, 2021.</w:t>
      </w:r>
    </w:p>
    <w:p>
      <w:pPr>
        <w:pStyle w:val="ListParagraph"/>
        <w:numPr>
          <w:ilvl w:val="0"/>
          <w:numId w:val="2"/>
        </w:numPr>
        <w:spacing w:after="80" w:line="264"/>
      </w:pPr>
      <w:r>
        <w:t xml:space="preserve">Master Direction DoS.CO.CSITEG/SEC.1/31.01.015/2023-24 on Outsourcing of Information Technology Services dated April 10, 2023.</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(largely vendor-hosted) production and DR environments and a sample agent point.</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wallet / PPI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2,21,40,000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Channels offered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Wallet / PPI, UPI, AePS, IMPS, micro-ATM (via agents)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Agent / BC network (points)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4,80,000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UPI transaction volume (CY2024)</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Very high (peak-load sensitive)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Settlement dependency</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Partner / sponsor bank for certain settlement flows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Lending / advances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permitted (Payments Bank)</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Wallet core, Payment Switch, AePS / biometric stack, Reconciliation engine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 / hosting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Predominantly vendor-hosted infrastructure</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Payment Switch Resilience and Scalability</w:t>
      </w:r>
    </w:p>
    <w:p>
      <w:pPr>
        <w:pStyle w:val="ListParagraph"/>
        <w:numPr>
          <w:ilvl w:val="0"/>
          <w:numId w:val="2"/>
        </w:numPr>
        <w:spacing w:after="90" w:line="268"/>
      </w:pPr>
      <w:r>
        <w:t xml:space="preserve">Peak-load and failover testing of the payment switch was not performed at projected transaction volumes.</w:t>
      </w:r>
    </w:p>
    <w:p>
      <w:pPr>
        <w:pStyle w:val="Heading2"/>
        <w:shd w:fill="DCE6F1" w:val="clear"/>
        <w:spacing w:after="100" w:before="180"/>
      </w:pPr>
      <w:r>
        <w:rPr>
          <w:b/>
          <w:bCs/>
          <w:color w:val="1F3864"/>
          <w:sz w:val="21"/>
          <w:szCs w:val="21"/>
        </w:rPr>
        <w:t xml:space="preserve">Settlement and Reconciliation with Partner Bank</w:t>
      </w:r>
    </w:p>
    <w:p>
      <w:pPr>
        <w:pStyle w:val="ListParagraph"/>
        <w:numPr>
          <w:ilvl w:val="0"/>
          <w:numId w:val="2"/>
        </w:numPr>
        <w:spacing w:after="90" w:line="268"/>
      </w:pPr>
      <w:r>
        <w:t xml:space="preserve">Reconciliation of settlement flows with the partner / sponsor bank was partly manual and not always completed within the prescribed cycle, which was non-adherence to the reconciliation provisions of the DPSC Master Direction.</w:t>
      </w:r>
    </w:p>
    <w:p>
      <w:pPr>
        <w:pStyle w:val="Heading2"/>
        <w:shd w:fill="DCE6F1" w:val="clear"/>
        <w:spacing w:after="100" w:before="180"/>
      </w:pPr>
      <w:r>
        <w:rPr>
          <w:b/>
          <w:bCs/>
          <w:color w:val="1F3864"/>
          <w:sz w:val="21"/>
          <w:szCs w:val="21"/>
        </w:rPr>
        <w:t xml:space="preserve">AePS / Biometric and Wallet (PPI) Security</w:t>
      </w:r>
    </w:p>
    <w:p>
      <w:pPr>
        <w:pStyle w:val="ListParagraph"/>
        <w:numPr>
          <w:ilvl w:val="0"/>
          <w:numId w:val="2"/>
        </w:numPr>
        <w:spacing w:after="90" w:line="268"/>
      </w:pPr>
      <w:r>
        <w:t xml:space="preserve">Controls against biometric replay / injection and velocity-based AePS fraud were not fully implemented.</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tabs>
          <w:tab w:val="right" w:pos="8926"/>
        </w:tabs>
        <w:spacing w:after="90" w:line="268"/>
      </w:pPr>
      <w:r>
        <w:t xml:space="preserve">A large share of technology operations was outsourced, but Board / management oversight metrics over service providers were limited; provider-level SLA / risk dashboards were not reported to the IT Steering Committee.</w:t>
      </w:r>
      <w:r>
        <w:rPr>
          <w:b/>
          <w:bCs/>
        </w:rPr>
        <w:t xml:space="preserve">	(Action)</w:t>
      </w:r>
    </w:p>
    <w:p>
      <w:pPr>
        <w:pStyle w:val="Heading2"/>
        <w:shd w:fill="DCE6F1" w:val="clear"/>
        <w:spacing w:after="100" w:before="180"/>
      </w:pPr>
      <w:r>
        <w:rPr>
          <w:b/>
          <w:bCs/>
          <w:color w:val="1F3864"/>
          <w:sz w:val="21"/>
          <w:szCs w:val="21"/>
        </w:rPr>
        <w:t xml:space="preserve">Payment Switch Resilience and Scalability</w:t>
      </w:r>
    </w:p>
    <w:p>
      <w:pPr>
        <w:pStyle w:val="ListParagraph"/>
        <w:numPr>
          <w:ilvl w:val="0"/>
          <w:numId w:val="2"/>
        </w:numPr>
        <w:tabs>
          <w:tab w:val="right" w:pos="8926"/>
        </w:tabs>
        <w:spacing w:after="90" w:line="268"/>
      </w:pPr>
      <w:r>
        <w:t xml:space="preserve">Peak-load and failover testing of the payment switch was not performed at projected (stressed) transaction volumes, which was non-adherence to the capacity-management / operational-resilience provisions of the IT Governance Directions, 2023.</w:t>
      </w:r>
      <w:r>
        <w:rPr>
          <w:b/>
          <w:bCs/>
        </w:rPr>
        <w:t xml:space="preserve">	(Action)</w:t>
      </w:r>
    </w:p>
    <w:p>
      <w:pPr>
        <w:pStyle w:val="Heading2"/>
        <w:shd w:fill="DCE6F1" w:val="clear"/>
        <w:spacing w:after="100" w:before="180"/>
      </w:pPr>
      <w:r>
        <w:rPr>
          <w:b/>
          <w:bCs/>
          <w:color w:val="1F3864"/>
          <w:sz w:val="21"/>
          <w:szCs w:val="21"/>
        </w:rPr>
        <w:t xml:space="preserve">Settlement and Reconciliation with Partner Bank</w:t>
      </w:r>
    </w:p>
    <w:p>
      <w:pPr>
        <w:pStyle w:val="ListParagraph"/>
        <w:numPr>
          <w:ilvl w:val="0"/>
          <w:numId w:val="2"/>
        </w:numPr>
        <w:tabs>
          <w:tab w:val="right" w:pos="8926"/>
        </w:tabs>
        <w:spacing w:after="90" w:line="268"/>
      </w:pPr>
      <w:r>
        <w:t xml:space="preserve">Reconciliation of settlement flows with the partner / sponsor bank was partly manual and not always completed within the prescribed cycle, which was non-adherence to the Reconciliation Mechanism provisions of Chapter II of the DPSC Master Direction.</w:t>
      </w:r>
      <w:r>
        <w:rPr>
          <w:b/>
          <w:bCs/>
        </w:rPr>
        <w:t xml:space="preserve">	(Action)</w:t>
      </w:r>
    </w:p>
    <w:p>
      <w:pPr>
        <w:pStyle w:val="Heading2"/>
        <w:shd w:fill="DCE6F1" w:val="clear"/>
        <w:spacing w:after="100" w:before="180"/>
      </w:pPr>
      <w:r>
        <w:rPr>
          <w:b/>
          <w:bCs/>
          <w:color w:val="1F3864"/>
          <w:sz w:val="21"/>
          <w:szCs w:val="21"/>
        </w:rPr>
        <w:t xml:space="preserve">AePS / Biometric and Wallet (PPI) Security</w:t>
      </w:r>
    </w:p>
    <w:p>
      <w:pPr>
        <w:spacing w:after="120" w:line="276"/>
      </w:pPr>
      <w:r>
        <w:t xml:space="preserve">The following gaps were observed, which were in violation of the authentication / fraud-risk provisions of the DPSC Master Direction dated February 18, 2021:</w:t>
      </w:r>
    </w:p>
    <w:p>
      <w:pPr>
        <w:pStyle w:val="ListParagraph"/>
        <w:numPr>
          <w:ilvl w:val="0"/>
          <w:numId w:val="2"/>
        </w:numPr>
        <w:tabs>
          <w:tab w:val="right" w:pos="8926"/>
        </w:tabs>
        <w:spacing w:after="90" w:line="268"/>
      </w:pPr>
      <w:r>
        <w:t xml:space="preserve">Controls against biometric replay / injection and velocity-based AePS fraud were not fully implemented (encrypted, registered-device capture and anomaly controls).</w:t>
      </w:r>
      <w:r>
        <w:rPr>
          <w:b/>
          <w:bCs/>
        </w:rPr>
        <w:t xml:space="preserve">	(Action)</w:t>
      </w:r>
    </w:p>
    <w:p>
      <w:pPr>
        <w:pStyle w:val="ListParagraph"/>
        <w:numPr>
          <w:ilvl w:val="0"/>
          <w:numId w:val="2"/>
        </w:numPr>
        <w:tabs>
          <w:tab w:val="right" w:pos="8926"/>
        </w:tabs>
        <w:spacing w:after="90" w:line="268"/>
      </w:pPr>
      <w:r>
        <w:t xml:space="preserve">Monitoring for mule-wallet and structuring patterns was rule-based with limited analytics.</w:t>
      </w:r>
      <w:r>
        <w:rPr>
          <w:b/>
          <w:bCs/>
        </w:rPr>
        <w:t xml:space="preserve">	(Action)</w:t>
      </w:r>
    </w:p>
    <w:p>
      <w:pPr>
        <w:pStyle w:val="Heading2"/>
        <w:shd w:fill="DCE6F1" w:val="clear"/>
        <w:spacing w:after="100" w:before="180"/>
      </w:pPr>
      <w:r>
        <w:rPr>
          <w:b/>
          <w:bCs/>
          <w:color w:val="1F3864"/>
          <w:sz w:val="21"/>
          <w:szCs w:val="21"/>
        </w:rPr>
        <w:t xml:space="preserve">Agent-Device and Last-Mile Security</w:t>
      </w:r>
    </w:p>
    <w:p>
      <w:pPr>
        <w:pStyle w:val="ListParagraph"/>
        <w:numPr>
          <w:ilvl w:val="0"/>
          <w:numId w:val="2"/>
        </w:numPr>
        <w:tabs>
          <w:tab w:val="right" w:pos="8926"/>
        </w:tabs>
        <w:spacing w:after="90" w:line="268"/>
      </w:pPr>
      <w:r>
        <w:t xml:space="preserve">Agent micro-ATM / mobile devices were not consistently hardened, registered or centrally managed.</w:t>
      </w:r>
      <w:r>
        <w:rPr>
          <w:b/>
          <w:bCs/>
        </w:rPr>
        <w:t xml:space="preserve">	(Action)</w:t>
      </w:r>
    </w:p>
    <w:p>
      <w:pPr>
        <w:pStyle w:val="Heading2"/>
        <w:shd w:fill="DCE6F1" w:val="clear"/>
        <w:spacing w:after="100" w:before="180"/>
      </w:pPr>
      <w:r>
        <w:rPr>
          <w:b/>
          <w:bCs/>
          <w:color w:val="1F3864"/>
          <w:sz w:val="21"/>
          <w:szCs w:val="21"/>
        </w:rPr>
        <w:t xml:space="preserve">Network and Secure Configuration</w:t>
      </w:r>
    </w:p>
    <w:p>
      <w:pPr>
        <w:pStyle w:val="ListParagraph"/>
        <w:numPr>
          <w:ilvl w:val="0"/>
          <w:numId w:val="2"/>
        </w:numPr>
        <w:tabs>
          <w:tab w:val="right" w:pos="8926"/>
        </w:tabs>
        <w:spacing w:after="90" w:line="268"/>
      </w:pPr>
      <w:r>
        <w:t xml:space="preserve">Access to certain hosted infrastructure components was not restricted to specific IP addresses and secure-configuration review was not periodically performed.</w:t>
      </w:r>
      <w:r>
        <w:rPr>
          <w:b/>
          <w:bCs/>
        </w:rPr>
        <w:t xml:space="preserve">	(Action)</w:t>
      </w:r>
    </w:p>
    <w:p>
      <w:pPr>
        <w:pStyle w:val="Heading2"/>
        <w:shd w:fill="DCE6F1" w:val="clear"/>
        <w:spacing w:after="100" w:before="180"/>
      </w:pPr>
      <w:r>
        <w:rPr>
          <w:b/>
          <w:bCs/>
          <w:color w:val="1F3864"/>
          <w:sz w:val="21"/>
          <w:szCs w:val="21"/>
        </w:rPr>
        <w:t xml:space="preserve">User Access Control / Management</w:t>
      </w:r>
    </w:p>
    <w:p>
      <w:pPr>
        <w:pStyle w:val="ListParagraph"/>
        <w:numPr>
          <w:ilvl w:val="0"/>
          <w:numId w:val="2"/>
        </w:numPr>
        <w:tabs>
          <w:tab w:val="right" w:pos="8926"/>
        </w:tabs>
        <w:spacing w:after="90" w:line="268"/>
      </w:pPr>
      <w:r>
        <w:t xml:space="preserve">Privileged access on hosted infrastructure was not fully governed through PAM with MFA and session recording.</w:t>
      </w:r>
      <w:r>
        <w:rPr>
          <w:b/>
          <w:bCs/>
        </w:rPr>
        <w:t xml:space="preserve">	(Action)</w:t>
      </w:r>
    </w:p>
    <w:p>
      <w:pPr>
        <w:pStyle w:val="Heading2"/>
        <w:shd w:fill="DCE6F1" w:val="clear"/>
        <w:spacing w:after="100" w:before="180"/>
      </w:pPr>
      <w:r>
        <w:rPr>
          <w:b/>
          <w:bCs/>
          <w:color w:val="1F3864"/>
          <w:sz w:val="21"/>
          <w:szCs w:val="21"/>
        </w:rPr>
        <w:t xml:space="preserve">Security Operations Centre (SOC)</w:t>
      </w:r>
    </w:p>
    <w:p>
      <w:pPr>
        <w:pStyle w:val="ListParagraph"/>
        <w:numPr>
          <w:ilvl w:val="0"/>
          <w:numId w:val="2"/>
        </w:numPr>
        <w:tabs>
          <w:tab w:val="right" w:pos="8926"/>
        </w:tabs>
        <w:spacing w:after="90" w:line="268"/>
      </w:pPr>
      <w:r>
        <w:t xml:space="preserve">SOC log coverage of certain agent-facing and partner-facing components was incomplete, creating detection blind spots on high-volume interfaces.</w:t>
      </w:r>
      <w:r>
        <w:rPr>
          <w:b/>
          <w:bCs/>
        </w:rPr>
        <w:t xml:space="preserve">	(Action)</w:t>
      </w:r>
    </w:p>
    <w:p>
      <w:pPr>
        <w:pStyle w:val="Heading2"/>
        <w:shd w:fill="DCE6F1" w:val="clear"/>
        <w:spacing w:after="100" w:before="180"/>
      </w:pPr>
      <w:r>
        <w:rPr>
          <w:b/>
          <w:bCs/>
          <w:color w:val="1F3864"/>
          <w:sz w:val="21"/>
          <w:szCs w:val="21"/>
        </w:rPr>
        <w:t xml:space="preserve">Outsourcing of Hosted Payment Infrastructure</w:t>
      </w:r>
    </w:p>
    <w:p>
      <w:pPr>
        <w:spacing w:after="120" w:line="276"/>
      </w:pPr>
      <w:r>
        <w:t xml:space="preserve">The following gaps were observed, which were in violation of the Master Direction on Outsourcing of IT Services dated April 10, 2023:</w:t>
      </w:r>
    </w:p>
    <w:p>
      <w:pPr>
        <w:pStyle w:val="ListParagraph"/>
        <w:numPr>
          <w:ilvl w:val="0"/>
          <w:numId w:val="2"/>
        </w:numPr>
        <w:tabs>
          <w:tab w:val="right" w:pos="8926"/>
        </w:tabs>
        <w:spacing w:after="90" w:line="268"/>
      </w:pPr>
      <w:r>
        <w:t xml:space="preserve">The hosted wallet core and switch lacked a documented, tested exit / continuity arrangement and source-code escrow.</w:t>
      </w:r>
      <w:r>
        <w:rPr>
          <w:b/>
          <w:bCs/>
        </w:rPr>
        <w:t xml:space="preserve">	(Action)</w:t>
      </w:r>
    </w:p>
    <w:p>
      <w:pPr>
        <w:pStyle w:val="Heading2"/>
        <w:shd w:fill="DCE6F1" w:val="clear"/>
        <w:spacing w:after="100" w:before="180"/>
      </w:pPr>
      <w:r>
        <w:rPr>
          <w:b/>
          <w:bCs/>
          <w:color w:val="1F3864"/>
          <w:sz w:val="21"/>
          <w:szCs w:val="21"/>
        </w:rPr>
        <w:t xml:space="preserve">Digital Payment Channel Controls</w:t>
      </w:r>
    </w:p>
    <w:p>
      <w:pPr>
        <w:pStyle w:val="ListParagraph"/>
        <w:numPr>
          <w:ilvl w:val="0"/>
          <w:numId w:val="2"/>
        </w:numPr>
        <w:tabs>
          <w:tab w:val="right" w:pos="8926"/>
        </w:tabs>
        <w:spacing w:after="90" w:line="268"/>
      </w:pPr>
      <w:r>
        <w:t xml:space="preserve">Additional / adaptive authentication for high-risk wallet operations was inconsistent, which was non-adherence to the authentication provisions of the DPSC Master Direction.</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23</w:t>
      </w:r>
    </w:p>
    <w:p>
      <w:pPr>
        <w:pStyle w:val="ListParagraph"/>
        <w:numPr>
          <w:ilvl w:val="0"/>
          <w:numId w:val="2"/>
        </w:numPr>
        <w:spacing w:after="90" w:line="268"/>
      </w:pPr>
      <w:r>
        <w:rPr>
          <w:b/>
          <w:bCs/>
        </w:rPr>
        <w:t xml:space="preserve">Section 3 Observations: </w:t>
      </w:r>
      <w:r>
        <w:t xml:space="preserve">11 Action Points</w:t>
      </w:r>
    </w:p>
    <w:p>
      <w:pPr>
        <w:pStyle w:val="ListParagraph"/>
        <w:numPr>
          <w:ilvl w:val="0"/>
          <w:numId w:val="2"/>
        </w:numPr>
        <w:spacing w:after="90" w:line="268"/>
      </w:pPr>
      <w:r>
        <w:rPr>
          <w:b/>
          <w:bCs/>
        </w:rPr>
        <w:t xml:space="preserve">Annex I — Non-complied previous ITE observations: </w:t>
      </w:r>
      <w:r>
        <w:t xml:space="preserve">3 Action Points</w:t>
      </w:r>
    </w:p>
    <w:p>
      <w:pPr>
        <w:pStyle w:val="ListParagraph"/>
        <w:numPr>
          <w:ilvl w:val="0"/>
          <w:numId w:val="2"/>
        </w:numPr>
        <w:spacing w:after="90" w:line="268"/>
      </w:pPr>
      <w:r>
        <w:rPr>
          <w:b/>
          <w:bCs/>
        </w:rPr>
        <w:t xml:space="preserve">Annex II — Non-compliance to Advisories and Alerts: </w:t>
      </w:r>
      <w:r>
        <w:t xml:space="preserve">6 Action Points</w:t>
      </w:r>
    </w:p>
    <w:p>
      <w:pPr>
        <w:pStyle w:val="ListParagraph"/>
        <w:numPr>
          <w:ilvl w:val="0"/>
          <w:numId w:val="2"/>
        </w:numPr>
        <w:spacing w:after="90" w:line="268"/>
      </w:pPr>
      <w:r>
        <w:rPr>
          <w:b/>
          <w:bCs/>
        </w:rPr>
        <w:t xml:space="preserve">Annex III — Non-compliance to DPSC Circular: </w:t>
      </w:r>
      <w:r>
        <w:t xml:space="preserve">3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UPI uptime during the review period was observed to be strong.</w:t>
      </w:r>
    </w:p>
    <w:p>
      <w:pPr>
        <w:pStyle w:val="ListParagraph"/>
        <w:numPr>
          <w:ilvl w:val="0"/>
          <w:numId w:val="2"/>
        </w:numPr>
        <w:spacing w:after="90" w:line="268"/>
      </w:pPr>
      <w:r>
        <w:t xml:space="preserve">PPI / wallet KYC processes were aligned to applicable norms.</w:t>
      </w:r>
    </w:p>
    <w:p>
      <w:pPr>
        <w:pStyle w:val="ListParagraph"/>
        <w:numPr>
          <w:ilvl w:val="0"/>
          <w:numId w:val="2"/>
        </w:numPr>
        <w:spacing w:after="90" w:line="268"/>
      </w:pPr>
      <w:r>
        <w:t xml:space="preserve">Cyber incident reporting to RBI was within the prescribed timelines.</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Reconciliation</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Settlement reconciliation largely manual.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Resilience</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Switch capacity not validated at peak volumes.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AePS / Biometric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Registered-device biometric capture partial.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08-Jul-24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Actors gaining access to IT infrastructure of Payment Service Providers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28-Aug-23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1/2023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Securing the ecosystem connecting the bank's ATM switch to Card Networks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18-Jun-24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DDoS Attack on Critical Servers of Banking / Financial Sector Organisations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Strengthening Controls on the Payment System Infrastructure and General Control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III — Non-compliance to DPSC Circular</w:t>
      </w:r>
    </w:p>
    <w:p>
      <w:pPr>
        <w:spacing w:after="120"/>
      </w:pPr>
      <w:r>
        <w:t xml:space="preserve">Details of non / partially complied paras of the Master Direction on Digital Payment Security Controls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58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 / Section</w:t>
            </w:r>
          </w:p>
        </w:tc>
        <w:tc>
          <w:tcPr>
            <w:tcW w:type="dxa" w:w="58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Reconciliation mechanism for digital payment flows (Chapter II).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40</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Multi-factor / risk-based authentication and adaptive controls for digital payment channels.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Board-approved policy for digital payment products covering Functionality, Security and Performance (FSP) aspects; periodic (at least yearly) review.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PNPB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PayNivesh Payments Bank Limited</dc:title>
  <dc:creator>RBI CSITEG (fictional sample)</dc:creator>
  <cp:lastModifiedBy>Un-named</cp:lastModifiedBy>
  <cp:revision>1</cp:revision>
  <dcterms:created xsi:type="dcterms:W3CDTF">2026-06-16T03:00:56.971Z</dcterms:created>
  <dcterms:modified xsi:type="dcterms:W3CDTF">2026-06-16T03:00:56.972Z</dcterms:modified>
</cp:coreProperties>
</file>

<file path=docProps/custom.xml><?xml version="1.0" encoding="utf-8"?>
<Properties xmlns="http://schemas.openxmlformats.org/officeDocument/2006/custom-properties" xmlns:vt="http://schemas.openxmlformats.org/officeDocument/2006/docPropsVTypes"/>
</file>