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/>
      </w:pPr>
      <w:r>
        <w:rPr>
          <w:sz w:val="20"/>
        </w:rPr>
        <w:t>﻿#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Document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Document Number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DI_PNPB_3_2_1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Confidential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Department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Information Technology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1. Purpose</w:t>
      </w:r>
    </w:p>
    <w:p>
      <w:pPr>
        <w:spacing w:before="20" w:after="20"/>
      </w:pPr>
      <w:r>
        <w:rPr>
          <w:sz w:val="20"/>
        </w:rPr>
        <w:t xml:space="preserve">This document provides a comprehensive framework for Peak-load and failover testing report at projected stressed transaction volumes at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. It establishes the controls, procedures, and oversight mechanisms to address the regulatory observation identified under </w:t>
      </w:r>
      <w:r>
        <w:rPr>
          <w:b/>
          <w:sz w:val="20"/>
        </w:rPr>
        <w:t>3.2.1</w:t>
      </w:r>
      <w:r>
        <w:rPr>
          <w:sz w:val="20"/>
        </w:rPr>
        <w:t>.</w:t>
      </w:r>
    </w:p>
    <w:p>
      <w:pPr>
        <w:spacing w:before="200" w:after="80"/>
      </w:pPr>
      <w:r>
        <w:rPr>
          <w:b/>
          <w:color w:val="2C5F8A"/>
          <w:sz w:val="32"/>
        </w:rPr>
        <w:t>2. Observation Reference</w:t>
      </w:r>
    </w:p>
    <w:p>
      <w:pPr>
        <w:spacing w:before="20" w:after="20"/>
      </w:pPr>
      <w:r>
        <w:rPr>
          <w:b/>
          <w:sz w:val="20"/>
        </w:rPr>
        <w:t>Observation ID:</w:t>
      </w:r>
      <w:r>
        <w:rPr>
          <w:sz w:val="20"/>
        </w:rPr>
        <w:t xml:space="preserve"> 3.2.1</w:t>
      </w:r>
    </w:p>
    <w:p>
      <w:pPr>
        <w:spacing w:before="20" w:after="20"/>
      </w:pPr>
      <w:r>
        <w:rPr>
          <w:b/>
          <w:sz w:val="20"/>
        </w:rPr>
        <w:t>Observation:</w:t>
      </w:r>
      <w:r>
        <w:rPr>
          <w:sz w:val="20"/>
        </w:rPr>
        <w:t xml:space="preserve"> Peak-load and failover testing of the payment switch was not performed at projected (stressed) transaction volumes, which was non-adherence to the capacity-management / operational-resilience provisions of the IT Governance Directions, 2023.</w:t>
      </w:r>
    </w:p>
    <w:p>
      <w:pPr>
        <w:spacing w:before="20" w:after="20"/>
      </w:pPr>
      <w:r>
        <w:rPr>
          <w:b/>
          <w:sz w:val="20"/>
        </w:rPr>
        <w:t>Bank:</w:t>
      </w:r>
      <w:r>
        <w:rPr>
          <w:sz w:val="20"/>
        </w:rPr>
        <w:t xml:space="preserve"> PayNivesh Payments Bank Limited</w:t>
      </w:r>
    </w:p>
    <w:p>
      <w:pPr>
        <w:spacing w:before="200" w:after="80"/>
      </w:pPr>
      <w:r>
        <w:rPr>
          <w:b/>
          <w:color w:val="2C5F8A"/>
          <w:sz w:val="32"/>
        </w:rPr>
        <w:t>3. Regulatory Compliance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IT Governance, Risk, Controls and Assurance Practices Directions, 2023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Digital Payment Security Controls (DPSC) Master Direction, 2021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RBI Cyber Security Framework for Scheduled Commercial Banks</w:t>
      </w:r>
    </w:p>
    <w:p>
      <w:pPr>
        <w:spacing w:before="20" w:after="20"/>
        <w:ind w:left="567"/>
      </w:pPr>
      <w:r>
        <w:rPr>
          <w:sz w:val="20"/>
        </w:rPr>
        <w:t xml:space="preserve">  </w:t>
      </w:r>
      <w:r>
        <w:rPr>
          <w:sz w:val="20"/>
        </w:rPr>
        <w:t>PayNivesh Payments Bank Limited Internal Policies</w:t>
      </w:r>
    </w:p>
    <w:p>
      <w:pPr>
        <w:spacing w:before="200" w:after="80"/>
      </w:pPr>
      <w:r>
        <w:rPr>
          <w:b/>
          <w:color w:val="2C5F8A"/>
          <w:sz w:val="32"/>
        </w:rPr>
        <w:t>4. Policy / Control Requirements</w:t>
      </w:r>
    </w:p>
    <w:p>
      <w:pPr>
        <w:spacing w:before="160" w:after="60"/>
      </w:pPr>
      <w:r>
        <w:rPr>
          <w:b/>
          <w:color w:val="3A7CA5"/>
          <w:sz w:val="26"/>
        </w:rPr>
        <w:t>4.1 Governance</w:t>
      </w:r>
    </w:p>
    <w:p>
      <w:pPr>
        <w:spacing w:before="20" w:after="20"/>
      </w:pPr>
      <w:r>
        <w:rPr>
          <w:sz w:val="20"/>
        </w:rPr>
        <w:t xml:space="preserve">The Board and IT Strategy Committee of </w:t>
      </w:r>
      <w:r>
        <w:rPr>
          <w:b/>
          <w:sz w:val="20"/>
        </w:rPr>
        <w:t>PayNivesh Payments Bank Limited</w:t>
      </w:r>
      <w:r>
        <w:rPr>
          <w:sz w:val="20"/>
        </w:rPr>
        <w:t xml:space="preserve"> shall provide strategic oversight. Compliance shall be monitored quarterly by the IT Steering Committee.</w:t>
      </w:r>
    </w:p>
    <w:p>
      <w:pPr>
        <w:spacing w:before="160" w:after="60"/>
      </w:pPr>
      <w:r>
        <w:rPr>
          <w:b/>
          <w:color w:val="3A7CA5"/>
          <w:sz w:val="26"/>
        </w:rPr>
        <w:t>4.2 Key Controls</w:t>
      </w:r>
    </w:p>
    <w:p>
      <w:pPr>
        <w:spacing w:before="20" w:after="20"/>
      </w:pPr>
      <w:r>
        <w:rPr>
          <w:sz w:val="20"/>
        </w:rPr>
        <w:t>1. Documented procedures shall be implemented and maintained</w:t>
      </w:r>
    </w:p>
    <w:p>
      <w:pPr>
        <w:spacing w:before="20" w:after="20"/>
      </w:pPr>
      <w:r>
        <w:rPr>
          <w:sz w:val="20"/>
        </w:rPr>
        <w:t>2. Evidence of compliance shall be preserved for regulatory inspection</w:t>
      </w:r>
    </w:p>
    <w:p>
      <w:pPr>
        <w:spacing w:before="20" w:after="20"/>
      </w:pPr>
      <w:r>
        <w:rPr>
          <w:sz w:val="20"/>
        </w:rPr>
        <w:t>3. Periodic reviews shall be conducted as per defined frequency</w:t>
      </w:r>
    </w:p>
    <w:p>
      <w:pPr>
        <w:spacing w:before="20" w:after="20"/>
      </w:pPr>
      <w:r>
        <w:rPr>
          <w:sz w:val="20"/>
        </w:rPr>
        <w:t>4. Deviations shall require approved exception from competent authority</w:t>
      </w:r>
    </w:p>
    <w:p>
      <w:pPr>
        <w:spacing w:before="20" w:after="20"/>
      </w:pPr>
      <w:r>
        <w:rPr>
          <w:sz w:val="20"/>
        </w:rPr>
        <w:t>5. Root-cause analysis shall be performed for recurring observations</w:t>
      </w:r>
    </w:p>
    <w:p>
      <w:pPr>
        <w:spacing w:before="160" w:after="60"/>
      </w:pPr>
      <w:r>
        <w:rPr>
          <w:b/>
          <w:color w:val="3A7CA5"/>
          <w:sz w:val="26"/>
        </w:rPr>
        <w:t>4.3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703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Board of Directors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Strategic oversight and policy approval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Strategy Committee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Governance review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CISO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Implementation and compliance</w:t>
            </w:r>
          </w:p>
        </w:tc>
      </w:tr>
      <w:tr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Internal Audit</w:t>
            </w:r>
          </w:p>
        </w:tc>
        <w:tc>
          <w:tcPr>
            <w:tcW w:type="dxa" w:w="4703"/>
            <w:shd w:fill="F2F7FB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Independent assurance</w:t>
            </w:r>
          </w:p>
        </w:tc>
      </w:tr>
    </w:tbl>
    <w:p/>
    <w:p>
      <w:pPr>
        <w:spacing w:before="200" w:after="80"/>
      </w:pPr>
      <w:r>
        <w:rPr>
          <w:b/>
          <w:color w:val="2C5F8A"/>
          <w:sz w:val="32"/>
        </w:rPr>
        <w:t>5.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type="dxa" w:w="2351"/>
            <w:shd w:fill="1B3A5C"/>
          </w:tcPr>
          <w:p>
            <w:pPr>
              <w:spacing w:before="40" w:after="40"/>
            </w:pPr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1.0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18-06-2026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IT Governance Team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>
              <w:rPr>
                <w:sz w:val="20"/>
              </w:rPr>
            </w:r>
            <w:r>
              <w:rPr>
                <w:sz w:val="20"/>
              </w:rPr>
              <w:t>Initial release for 3.2.1</w:t>
            </w:r>
          </w:p>
        </w:tc>
      </w:tr>
    </w:tbl>
    <w:p/>
    <w:p>
      <w:pPr>
        <w:spacing w:before="120" w:after="40"/>
      </w:pPr>
      <w:r>
        <w:rPr>
          <w:b/>
          <w:color w:val="4A90B0"/>
          <w:sz w:val="22"/>
        </w:rPr>
        <w:t>END OF DOCUMENT</w:t>
      </w:r>
    </w:p>
    <w:p>
      <w:pPr>
        <w:spacing w:before="20" w:after="20"/>
      </w:pPr>
      <w:r>
        <w:rPr>
          <w:b/>
          <w:sz w:val="20"/>
        </w:rPr>
        <w:t>PayNivesh Payments Bank Limited</w:t>
      </w:r>
      <w:r>
        <w:rPr>
          <w:sz w:val="20"/>
        </w:rPr>
        <w:t xml:space="preserve"> — Committed to Excellence in Banking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