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Gap analysis of peak-load testing against projected transaction volumes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Peak-load and failover testing of the payment switch was not performed at projected (stressed) transaction volumes, which was non-adherence to the capacity-management / operational-resilience provisions of the IT Governance Directions, 2023.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