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Mule-wallet and structuring pattern monitoring policy with advanced analytics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Monitoring for mule-wallet and structuring patterns was rule-based with limited analytics.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