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session recording configuration and audit trail evidence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Privileged access on hosted infrastructure was not fully governed through PAM with MFA and session recording.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