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remediation gap analysis for hosted infrastructure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Privileged access on hosted infrastructure was not fully governed through PAM with MFA and session recording.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