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b/>
          <w:bCs/>
          <w:color w:val="C00000"/>
          <w:sz w:val="26"/>
          <w:szCs w:val="26"/>
        </w:rPr>
        <w:t xml:space="preserve">CONFIDENTIAL</w:t>
      </w:r>
    </w:p>
    <w:p>
      <w:pPr>
        <w:spacing w:after="40"/>
        <w:jc w:val="center"/>
      </w:pPr>
      <w:r>
        <w:rPr>
          <w:b/>
          <w:bCs/>
          <w:color w:val="1F3864"/>
          <w:sz w:val="30"/>
          <w:szCs w:val="30"/>
        </w:rPr>
        <w:t xml:space="preserve">RESERVE BANK OF INDIA</w:t>
      </w:r>
    </w:p>
    <w:p>
      <w:pPr>
        <w:spacing w:after="40"/>
        <w:jc w:val="center"/>
      </w:pPr>
      <w:r>
        <w:rPr>
          <w:b/>
          <w:bCs/>
          <w:color w:val="1F3864"/>
          <w:sz w:val="24"/>
          <w:szCs w:val="24"/>
        </w:rPr>
        <w:t xml:space="preserve">DEPARTMENT OF SUPERVISION</w:t>
      </w:r>
    </w:p>
    <w:p>
      <w:pPr>
        <w:spacing w:after="360"/>
        <w:jc w:val="center"/>
      </w:pPr>
      <w:r>
        <w:rPr>
          <w:b/>
          <w:bCs/>
          <w:color w:val="595959"/>
          <w:sz w:val="22"/>
          <w:szCs w:val="22"/>
        </w:rPr>
        <w:t xml:space="preserve">Cyber Security and IT Examination Group (CSITEG)</w:t>
      </w:r>
    </w:p>
    <w:p>
      <w:pPr>
        <w:spacing w:after="280"/>
        <w:jc w:val="center"/>
      </w:pPr>
      <w:r>
        <w:rPr>
          <w:b/>
          <w:bCs/>
          <w:color w:val="2E5496"/>
          <w:sz w:val="26"/>
          <w:szCs w:val="26"/>
        </w:rPr>
        <w:t xml:space="preserve">Draft Report on IT Examination</w:t>
      </w:r>
    </w:p>
    <w:p>
      <w:pPr>
        <w:spacing w:after="60"/>
        <w:jc w:val="center"/>
      </w:pPr>
      <w:r>
        <w:rPr>
          <w:b/>
          <w:bCs/>
          <w:color w:val="1F3864"/>
          <w:sz w:val="36"/>
          <w:szCs w:val="36"/>
        </w:rPr>
        <w:t xml:space="preserve">Himgiri Local Area Bank Limited</w:t>
      </w:r>
    </w:p>
    <w:p>
      <w:pPr>
        <w:spacing w:after="200"/>
        <w:jc w:val="center"/>
      </w:pPr>
      <w:r>
        <w:rPr>
          <w:b w:val="false"/>
          <w:bCs w:val="false"/>
          <w:i/>
          <w:iCs/>
          <w:color w:val="595959"/>
          <w:sz w:val="20"/>
          <w:szCs w:val="20"/>
        </w:rPr>
        <w:t xml:space="preserve">Local Area Bank (area of operation: a few contiguous districts)</w:t>
      </w:r>
    </w:p>
    <w:p>
      <w:pPr>
        <w:spacing w:after="60"/>
        <w:jc w:val="center"/>
      </w:pPr>
      <w:r>
        <w:rPr>
          <w:b/>
          <w:bCs/>
          <w:color w:val="262626"/>
          <w:sz w:val="22"/>
          <w:szCs w:val="22"/>
        </w:rPr>
        <w:t xml:space="preserve">February 24 to 28, 2025</w:t>
      </w:r>
    </w:p>
    <w:p>
      <w:pPr>
        <w:spacing w:after="400"/>
        <w:jc w:val="center"/>
      </w:pPr>
      <w:r>
        <w:rPr>
          <w:b w:val="false"/>
          <w:bCs w:val="false"/>
          <w:color w:val="595959"/>
          <w:sz w:val="18"/>
          <w:szCs w:val="18"/>
        </w:rPr>
        <w:t xml:space="preserve">Examination reference: DoS.CO.CSITEG.ITE.LAB.0014/2024-25</w:t>
      </w:r>
    </w:p>
    <w:p>
      <w:pPr>
        <w:pBdr>
          <w:top w:val="single" w:color="C00000" w:sz="6" w:space="6"/>
          <w:bottom w:val="single" w:color="C00000" w:sz="6" w:space="6"/>
        </w:pBdr>
        <w:spacing w:after="40" w:before="300"/>
        <w:jc w:val="center"/>
      </w:pPr>
      <w:r>
        <w:rPr>
          <w:b/>
          <w:bCs/>
          <w:color w:val="C00000"/>
          <w:sz w:val="16"/>
          <w:szCs w:val="16"/>
        </w:rPr>
        <w:t xml:space="preserve">FICTIONAL / ILLUSTRATIVE SAMPLE — NOT A REAL SUPERVISORY DOCUMENT</w:t>
      </w:r>
    </w:p>
    <w:p>
      <w:pPr>
        <w:jc w:val="center"/>
      </w:pPr>
      <w:r>
        <w:rPr>
          <w:i/>
          <w:iCs/>
          <w:color w:val="595959"/>
          <w:sz w:val="15"/>
          <w:szCs w:val="15"/>
        </w:rPr>
        <w:t xml:space="preserve">All entities, persons, systems, vendors, data and findings herein are entirely fictional.</w:t>
      </w:r>
    </w:p>
    <w:p>
      <w:r>
        <w:br w:type="page"/>
      </w:r>
    </w:p>
    <w:p>
      <w:pPr>
        <w:pStyle w:val="Heading1"/>
        <w:shd w:fill="1F3864" w:val="clear"/>
        <w:spacing w:after="160" w:before="240"/>
      </w:pPr>
      <w:r>
        <w:rPr>
          <w:b/>
          <w:bCs/>
          <w:color w:val="FFFFFF"/>
          <w:sz w:val="24"/>
          <w:szCs w:val="24"/>
        </w:rPr>
        <w:t xml:space="preserve">CONTENT</w:t>
      </w:r>
    </w:p>
    <w:sdt>
      <w:sdtPr>
        <w:alias w:val="Content"/>
      </w:sdtPr>
      <w:sdtContent>
        <w:p>
          <w:r>
            <w:fldChar w:fldCharType="begin" w:dirty="true"/>
            <w:instrText xml:space="preserve">TOC \h \o "1-1"</w:instrText>
            <w:fldChar w:fldCharType="separate"/>
          </w:r>
        </w:p>
        <w:p>
          <w:r>
            <w:fldChar w:fldCharType="end"/>
          </w:r>
        </w:p>
      </w:sdtContent>
    </w:sdt>
    <w:p>
      <w:r>
        <w:br w:type="page"/>
      </w:r>
    </w:p>
    <w:p>
      <w:pPr>
        <w:pStyle w:val="Heading1"/>
        <w:shd w:fill="1F3864" w:val="clear"/>
        <w:spacing w:after="160" w:before="240"/>
      </w:pPr>
      <w:r>
        <w:rPr>
          <w:b/>
          <w:bCs/>
          <w:color w:val="FFFFFF"/>
          <w:sz w:val="24"/>
          <w:szCs w:val="24"/>
        </w:rPr>
        <w:t xml:space="preserve">Section 1: Background and Introduction</w:t>
      </w:r>
    </w:p>
    <w:p>
      <w:pPr>
        <w:spacing w:after="120" w:line="276"/>
      </w:pPr>
      <w:r>
        <w:rPr>
          <w:b/>
          <w:bCs/>
        </w:rPr>
        <w:t xml:space="preserve">1.1   </w:t>
      </w:r>
      <w:r>
        <w:t xml:space="preserve">The IT Examination of Himgiri Local Area Bank Limited (Local Area Bank) was conducted February 24 to 28, 2025. The focus of the examination was to assess the cyber security risk in the entity by examining in detail the cyber security and resilience framework implemented by the entity in terms of the following circulars / directions of the Reserve Bank of India (RBI):</w:t>
      </w:r>
    </w:p>
    <w:p>
      <w:pPr>
        <w:pStyle w:val="ListParagraph"/>
        <w:numPr>
          <w:ilvl w:val="0"/>
          <w:numId w:val="2"/>
        </w:numPr>
        <w:spacing w:after="80" w:line="264"/>
      </w:pPr>
      <w:r>
        <w:t xml:space="preserve">Master Direction DoS.CO.CSITEG/SEC.1/31.01.015/2023-24 on Outsourcing of Information Technology Services dated April 10, 2023.</w:t>
      </w:r>
    </w:p>
    <w:p>
      <w:pPr>
        <w:pStyle w:val="ListParagraph"/>
        <w:numPr>
          <w:ilvl w:val="0"/>
          <w:numId w:val="2"/>
        </w:numPr>
        <w:spacing w:after="80" w:line="264"/>
      </w:pPr>
      <w:r>
        <w:t xml:space="preserve">RBI Master Direction DoS.CO.CSITEG/SEC.7/31.01.015/2023-24 on Information Technology Governance, Risk, Controls and Assurance Practices dated November 7, 2023. (applicability to be confirmed against the applicability clause for LABs)</w:t>
      </w:r>
    </w:p>
    <w:p>
      <w:pPr>
        <w:pStyle w:val="ListParagraph"/>
        <w:numPr>
          <w:ilvl w:val="0"/>
          <w:numId w:val="2"/>
        </w:numPr>
        <w:spacing w:after="80" w:line="264"/>
      </w:pPr>
      <w:r>
        <w:t xml:space="preserve">RBI Circular DBS.CO/CSITE/BC.11/33.01.001/2015-16 on Cyber Security Framework in Banks dated June 2, 2016. (baseline cyber-hygiene expectations)</w:t>
      </w:r>
    </w:p>
    <w:p>
      <w:pPr>
        <w:spacing w:after="120" w:line="276"/>
      </w:pPr>
      <w:r>
        <w:rPr>
          <w:b/>
          <w:bCs/>
        </w:rPr>
        <w:t xml:space="preserve">1.2   </w:t>
      </w:r>
      <w:r>
        <w:t xml:space="preserve">The approach adopted for the examination included the following:</w:t>
      </w:r>
    </w:p>
    <w:p>
      <w:pPr>
        <w:pStyle w:val="ListParagraph"/>
        <w:numPr>
          <w:ilvl w:val="0"/>
          <w:numId w:val="2"/>
        </w:numPr>
        <w:spacing w:after="90" w:line="268"/>
      </w:pPr>
      <w:r>
        <w:t xml:space="preserve">Meetings with the entity on IT / Information Security (IS) / Cyber Security (CS) organizational structure, measures implemented, enterprise architecture for applications and infrastructure, digital initiatives and cyber security roadmap.</w:t>
      </w:r>
    </w:p>
    <w:p>
      <w:pPr>
        <w:pStyle w:val="ListParagraph"/>
        <w:numPr>
          <w:ilvl w:val="0"/>
          <w:numId w:val="2"/>
        </w:numPr>
        <w:spacing w:after="90" w:line="268"/>
      </w:pPr>
      <w:r>
        <w:t xml:space="preserve">Structured meetings and interactions with Head-IT, select business / technology functions, the Chief Information Security Officer (CISO), IT operations, IT / IS security teams and IS-Audit.</w:t>
      </w:r>
    </w:p>
    <w:p>
      <w:pPr>
        <w:pStyle w:val="ListParagraph"/>
        <w:numPr>
          <w:ilvl w:val="0"/>
          <w:numId w:val="2"/>
        </w:numPr>
        <w:spacing w:after="90" w:line="268"/>
      </w:pPr>
      <w:r>
        <w:t xml:space="preserve">Perusal / review of agenda and minutes of committee meetings, IT / IS audit reports, BCP / DR documentation and VA/PT reports, on a sample basis.</w:t>
      </w:r>
    </w:p>
    <w:p>
      <w:pPr>
        <w:pStyle w:val="ListParagraph"/>
        <w:numPr>
          <w:ilvl w:val="0"/>
          <w:numId w:val="2"/>
        </w:numPr>
        <w:spacing w:after="90" w:line="268"/>
      </w:pPr>
      <w:r>
        <w:t xml:space="preserve">Walkthrough of security solutions, infrastructure and applications, on a sample basis, as demonstrated by the entity.</w:t>
      </w:r>
    </w:p>
    <w:p>
      <w:pPr>
        <w:pStyle w:val="ListParagraph"/>
        <w:numPr>
          <w:ilvl w:val="0"/>
          <w:numId w:val="2"/>
        </w:numPr>
        <w:spacing w:after="90" w:line="268"/>
      </w:pPr>
      <w:r>
        <w:t xml:space="preserve">Response of the entity to specific queries / clarifications elicited.</w:t>
      </w:r>
    </w:p>
    <w:p>
      <w:pPr>
        <w:pStyle w:val="ListParagraph"/>
        <w:numPr>
          <w:ilvl w:val="0"/>
          <w:numId w:val="2"/>
        </w:numPr>
        <w:spacing w:after="90" w:line="268"/>
      </w:pPr>
      <w:r>
        <w:t xml:space="preserve">Compliance testing rather than substantive testing.</w:t>
      </w:r>
    </w:p>
    <w:p>
      <w:pPr>
        <w:pStyle w:val="ListParagraph"/>
        <w:numPr>
          <w:ilvl w:val="0"/>
          <w:numId w:val="2"/>
        </w:numPr>
        <w:spacing w:after="90" w:line="268"/>
      </w:pPr>
      <w:r>
        <w:t xml:space="preserve">Visit to the bank's data / server room and review of the vendor-operated CBS arrangement.</w:t>
      </w:r>
    </w:p>
    <w:p>
      <w:pPr>
        <w:spacing w:after="120" w:line="276"/>
      </w:pPr>
      <w:r>
        <w:rPr>
          <w:b/>
          <w:bCs/>
        </w:rPr>
        <w:t xml:space="preserve">1.3   </w:t>
      </w:r>
      <w:r>
        <w:t xml:space="preserve">Cyber security risk assessment is a point-in-time assessment subject to change over a period. Even though observations are made based on sample data / systems, the entity needs to ensure that the issues raised are resolved at a systemic level (holistically) and that necessary systems / controls are in place to ensure sustenance of such compliance.</w:t>
      </w:r>
    </w:p>
    <w:p>
      <w:pPr>
        <w:spacing w:after="120" w:line="276"/>
      </w:pPr>
      <w:r>
        <w:rPr>
          <w:b/>
          <w:bCs/>
        </w:rPr>
        <w:t xml:space="preserve">1.4   </w:t>
      </w:r>
      <w:r>
        <w:t xml:space="preserve">Profile of the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126"/>
        <w:gridCol w:w="31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 No.</w:t>
            </w:r>
          </w:p>
        </w:tc>
        <w:tc>
          <w:tcPr>
            <w:tcW w:type="dxa" w:w="5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Parameter</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As on March 31, 2024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Asset size of the Supervised Entity (₹ in crore)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2,180.00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Area of operation</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 few contiguous districts</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branches / ATMs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31 / 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retail customers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4,10,200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Internet / Mobile Banking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62,400 / 1,18,900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CBS arrangement</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Vendor-operated CBS</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Dedicated IT / security staff</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Small IT cell; security largely vendor-dependent</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assets identified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Vendor-operated CBS access, branch network, ATM, cards (sponsored)</w:t>
            </w:r>
          </w:p>
        </w:tc>
      </w:tr>
    </w:tbl>
    <w:p>
      <w:r>
        <w:br w:type="page"/>
      </w:r>
    </w:p>
    <w:p>
      <w:pPr>
        <w:pStyle w:val="Heading1"/>
        <w:shd w:fill="1F3864" w:val="clear"/>
        <w:spacing w:after="160" w:before="240"/>
      </w:pPr>
      <w:r>
        <w:rPr>
          <w:b/>
          <w:bCs/>
          <w:color w:val="FFFFFF"/>
          <w:sz w:val="24"/>
          <w:szCs w:val="24"/>
        </w:rPr>
        <w:t xml:space="preserve">Section 2: Executive Summary</w:t>
      </w:r>
    </w:p>
    <w:p>
      <w:pPr>
        <w:pStyle w:val="Heading2"/>
        <w:shd w:fill="DCE6F1" w:val="clear"/>
        <w:spacing w:after="100" w:before="180"/>
      </w:pPr>
      <w:r>
        <w:rPr>
          <w:b/>
          <w:bCs/>
          <w:color w:val="1F3864"/>
          <w:sz w:val="21"/>
          <w:szCs w:val="21"/>
        </w:rPr>
        <w:t xml:space="preserve">Cyber-Security Hygiene</w:t>
      </w:r>
    </w:p>
    <w:p>
      <w:pPr>
        <w:pStyle w:val="ListParagraph"/>
        <w:numPr>
          <w:ilvl w:val="0"/>
          <w:numId w:val="2"/>
        </w:numPr>
        <w:spacing w:after="90" w:line="268"/>
      </w:pPr>
      <w:r>
        <w:t xml:space="preserve">Patching was ad hoc, several endpoints lacked centrally managed anti-malware and email-security controls were basic.</w:t>
      </w:r>
    </w:p>
    <w:p>
      <w:pPr>
        <w:pStyle w:val="Heading2"/>
        <w:shd w:fill="DCE6F1" w:val="clear"/>
        <w:spacing w:after="100" w:before="180"/>
      </w:pPr>
      <w:r>
        <w:rPr>
          <w:b/>
          <w:bCs/>
          <w:color w:val="1F3864"/>
          <w:sz w:val="21"/>
          <w:szCs w:val="21"/>
        </w:rPr>
        <w:t xml:space="preserve">Vendor Oversight / Outsourcing</w:t>
      </w:r>
    </w:p>
    <w:p>
      <w:pPr>
        <w:pStyle w:val="ListParagraph"/>
        <w:numPr>
          <w:ilvl w:val="0"/>
          <w:numId w:val="2"/>
        </w:numPr>
        <w:spacing w:after="90" w:line="268"/>
      </w:pPr>
      <w:r>
        <w:t xml:space="preserve">The arrangement with the CBS vendor lacked documented security obligations, service levels and an exit / continuity plan, which was non-adherence to the Master Direction on Outsourcing of IT Services dated April 10, 2023.</w:t>
      </w:r>
    </w:p>
    <w:p>
      <w:r>
        <w:br w:type="page"/>
      </w:r>
    </w:p>
    <w:p>
      <w:pPr>
        <w:pStyle w:val="Heading1"/>
        <w:shd w:fill="1F3864" w:val="clear"/>
        <w:spacing w:after="160" w:before="240"/>
      </w:pPr>
      <w:r>
        <w:rPr>
          <w:b/>
          <w:bCs/>
          <w:color w:val="FFFFFF"/>
          <w:sz w:val="24"/>
          <w:szCs w:val="24"/>
        </w:rPr>
        <w:t xml:space="preserve">Section 3: IT Examination Observations and Action Points</w:t>
      </w:r>
    </w:p>
    <w:p>
      <w:pPr>
        <w:pStyle w:val="Heading2"/>
        <w:shd w:fill="DCE6F1" w:val="clear"/>
        <w:spacing w:after="100" w:before="180"/>
      </w:pPr>
      <w:r>
        <w:rPr>
          <w:b/>
          <w:bCs/>
          <w:color w:val="1F3864"/>
          <w:sz w:val="21"/>
          <w:szCs w:val="21"/>
        </w:rPr>
        <w:t xml:space="preserve">IT Governance Proportionate to Size</w:t>
      </w:r>
    </w:p>
    <w:p>
      <w:pPr>
        <w:pStyle w:val="ListParagraph"/>
        <w:numPr>
          <w:ilvl w:val="0"/>
          <w:numId w:val="2"/>
        </w:numPr>
        <w:tabs>
          <w:tab w:val="right" w:pos="8926"/>
        </w:tabs>
        <w:spacing w:after="90" w:line="268"/>
      </w:pPr>
      <w:r>
        <w:t xml:space="preserve">Board / management oversight of IT and cyber risk was informal and the information-security policy was not periodically reviewed.</w:t>
      </w:r>
      <w:r>
        <w:rPr>
          <w:b/>
          <w:bCs/>
        </w:rPr>
        <w:t xml:space="preserve">	(Action)</w:t>
      </w:r>
    </w:p>
    <w:p>
      <w:pPr>
        <w:pStyle w:val="Heading2"/>
        <w:shd w:fill="DCE6F1" w:val="clear"/>
        <w:spacing w:after="100" w:before="180"/>
      </w:pPr>
      <w:r>
        <w:rPr>
          <w:b/>
          <w:bCs/>
          <w:color w:val="1F3864"/>
          <w:sz w:val="21"/>
          <w:szCs w:val="21"/>
        </w:rPr>
        <w:t xml:space="preserve">Cyber-Security Hygiene</w:t>
      </w:r>
    </w:p>
    <w:p>
      <w:pPr>
        <w:spacing w:after="120" w:line="276"/>
      </w:pPr>
      <w:r>
        <w:t xml:space="preserve">The following gaps were observed against baseline cyber-hygiene expectations:</w:t>
      </w:r>
    </w:p>
    <w:p>
      <w:pPr>
        <w:pStyle w:val="ListParagraph"/>
        <w:numPr>
          <w:ilvl w:val="0"/>
          <w:numId w:val="2"/>
        </w:numPr>
        <w:tabs>
          <w:tab w:val="right" w:pos="8926"/>
        </w:tabs>
        <w:spacing w:after="90" w:line="268"/>
      </w:pPr>
      <w:r>
        <w:t xml:space="preserve">Patching was ad hoc, several endpoints lacked centrally managed anti-malware, and email-security controls were basic.</w:t>
      </w:r>
      <w:r>
        <w:rPr>
          <w:b/>
          <w:bCs/>
        </w:rPr>
        <w:t xml:space="preserve">	(Action)</w:t>
      </w:r>
    </w:p>
    <w:p>
      <w:pPr>
        <w:pStyle w:val="ListParagraph"/>
        <w:numPr>
          <w:ilvl w:val="0"/>
          <w:numId w:val="2"/>
        </w:numPr>
        <w:tabs>
          <w:tab w:val="right" w:pos="8926"/>
        </w:tabs>
        <w:spacing w:after="90" w:line="268"/>
      </w:pPr>
      <w:r>
        <w:t xml:space="preserve">Two-factor authentication was not enforced for all privileged / CBS access and access reviews were infrequent.</w:t>
      </w:r>
      <w:r>
        <w:rPr>
          <w:b/>
          <w:bCs/>
        </w:rPr>
        <w:t xml:space="preserve">	(Action)</w:t>
      </w:r>
    </w:p>
    <w:p>
      <w:pPr>
        <w:pStyle w:val="Heading2"/>
        <w:shd w:fill="DCE6F1" w:val="clear"/>
        <w:spacing w:after="100" w:before="180"/>
      </w:pPr>
      <w:r>
        <w:rPr>
          <w:b/>
          <w:bCs/>
          <w:color w:val="1F3864"/>
          <w:sz w:val="21"/>
          <w:szCs w:val="21"/>
        </w:rPr>
        <w:t xml:space="preserve">CBS Vendor Oversight / Outsourcing</w:t>
      </w:r>
    </w:p>
    <w:p>
      <w:pPr>
        <w:spacing w:after="120" w:line="276"/>
      </w:pPr>
      <w:r>
        <w:t xml:space="preserve">The following gaps were observed, which were in violation of the Master Direction on Outsourcing of IT Services dated April 10, 2023:</w:t>
      </w:r>
    </w:p>
    <w:p>
      <w:pPr>
        <w:pStyle w:val="ListParagraph"/>
        <w:numPr>
          <w:ilvl w:val="0"/>
          <w:numId w:val="2"/>
        </w:numPr>
        <w:tabs>
          <w:tab w:val="right" w:pos="8926"/>
        </w:tabs>
        <w:spacing w:after="90" w:line="268"/>
      </w:pPr>
      <w:r>
        <w:t xml:space="preserve">The arrangement with the CBS vendor lacked documented security obligations, service levels and an exit / continuity plan.</w:t>
      </w:r>
      <w:r>
        <w:rPr>
          <w:b/>
          <w:bCs/>
        </w:rPr>
        <w:t xml:space="preserve">	(Action)</w:t>
      </w:r>
    </w:p>
    <w:p>
      <w:pPr>
        <w:pStyle w:val="Heading2"/>
        <w:shd w:fill="DCE6F1" w:val="clear"/>
        <w:spacing w:after="100" w:before="180"/>
      </w:pPr>
      <w:r>
        <w:rPr>
          <w:b/>
          <w:bCs/>
          <w:color w:val="1F3864"/>
          <w:sz w:val="21"/>
          <w:szCs w:val="21"/>
        </w:rPr>
        <w:t xml:space="preserve">Backup and Business Continuity</w:t>
      </w:r>
    </w:p>
    <w:p>
      <w:pPr>
        <w:pStyle w:val="ListParagraph"/>
        <w:numPr>
          <w:ilvl w:val="0"/>
          <w:numId w:val="2"/>
        </w:numPr>
        <w:tabs>
          <w:tab w:val="right" w:pos="8926"/>
        </w:tabs>
        <w:spacing w:after="90" w:line="268"/>
      </w:pPr>
      <w:r>
        <w:t xml:space="preserve">A documented BCP / DR plan was not in place and backup restoration was not tested.</w:t>
      </w:r>
      <w:r>
        <w:rPr>
          <w:b/>
          <w:bCs/>
        </w:rPr>
        <w:t xml:space="preserve">	(Action)</w:t>
      </w:r>
    </w:p>
    <w:p>
      <w:pPr>
        <w:pStyle w:val="Heading2"/>
        <w:shd w:fill="DCE6F1" w:val="clear"/>
        <w:spacing w:after="100" w:before="180"/>
      </w:pPr>
      <w:r>
        <w:rPr>
          <w:b/>
          <w:bCs/>
          <w:color w:val="1F3864"/>
          <w:sz w:val="21"/>
          <w:szCs w:val="21"/>
        </w:rPr>
        <w:t xml:space="preserve">Information Systems Audit</w:t>
      </w:r>
    </w:p>
    <w:p>
      <w:pPr>
        <w:pStyle w:val="ListParagraph"/>
        <w:numPr>
          <w:ilvl w:val="0"/>
          <w:numId w:val="2"/>
        </w:numPr>
        <w:tabs>
          <w:tab w:val="right" w:pos="8926"/>
        </w:tabs>
        <w:spacing w:after="90" w:line="268"/>
      </w:pPr>
      <w:r>
        <w:t xml:space="preserve">IS audit was limited in scope and not conducted at an adequate frequency.</w:t>
      </w:r>
      <w:r>
        <w:rPr>
          <w:b/>
          <w:bCs/>
        </w:rPr>
        <w:t xml:space="preserve">	(Action)</w:t>
      </w:r>
    </w:p>
    <w:p>
      <w:r>
        <w:br w:type="page"/>
      </w:r>
    </w:p>
    <w:p>
      <w:pPr>
        <w:pStyle w:val="Heading1"/>
        <w:shd w:fill="1F3864" w:val="clear"/>
        <w:spacing w:after="160" w:before="240"/>
      </w:pPr>
      <w:r>
        <w:rPr>
          <w:b/>
          <w:bCs/>
          <w:color w:val="FFFFFF"/>
          <w:sz w:val="24"/>
          <w:szCs w:val="24"/>
        </w:rPr>
        <w:t xml:space="preserve">Section 4 — Number of Action Points</w:t>
      </w:r>
    </w:p>
    <w:p>
      <w:pPr>
        <w:spacing w:after="120" w:line="276"/>
      </w:pPr>
      <w:r>
        <w:rPr>
          <w:b/>
          <w:bCs/>
        </w:rPr>
        <w:t xml:space="preserve">Number of Total Action Points: </w:t>
      </w:r>
      <w:r>
        <w:rPr>
          <w:b/>
          <w:bCs/>
        </w:rPr>
        <w:t xml:space="preserve">13</w:t>
      </w:r>
    </w:p>
    <w:p>
      <w:pPr>
        <w:pStyle w:val="ListParagraph"/>
        <w:numPr>
          <w:ilvl w:val="0"/>
          <w:numId w:val="2"/>
        </w:numPr>
        <w:spacing w:after="90" w:line="268"/>
      </w:pPr>
      <w:r>
        <w:rPr>
          <w:b/>
          <w:bCs/>
        </w:rPr>
        <w:t xml:space="preserve">Section 3 Observations: </w:t>
      </w:r>
      <w:r>
        <w:t xml:space="preserve">6 Action Points</w:t>
      </w:r>
    </w:p>
    <w:p>
      <w:pPr>
        <w:pStyle w:val="ListParagraph"/>
        <w:numPr>
          <w:ilvl w:val="0"/>
          <w:numId w:val="2"/>
        </w:numPr>
        <w:spacing w:after="90" w:line="268"/>
      </w:pPr>
      <w:r>
        <w:rPr>
          <w:b/>
          <w:bCs/>
        </w:rPr>
        <w:t xml:space="preserve">Annex I — Non-complied previous ITE observations: </w:t>
      </w:r>
      <w:r>
        <w:t xml:space="preserve">3 Action Points</w:t>
      </w:r>
    </w:p>
    <w:p>
      <w:pPr>
        <w:pStyle w:val="ListParagraph"/>
        <w:numPr>
          <w:ilvl w:val="0"/>
          <w:numId w:val="2"/>
        </w:numPr>
        <w:spacing w:after="90" w:line="268"/>
      </w:pPr>
      <w:r>
        <w:rPr>
          <w:b/>
          <w:bCs/>
        </w:rPr>
        <w:t xml:space="preserve">Annex II — Non-compliance to Advisories and Alerts: </w:t>
      </w:r>
      <w:r>
        <w:t xml:space="preserve">4 Action Points</w:t>
      </w:r>
    </w:p>
    <w:p>
      <w:r>
        <w:br w:type="page"/>
      </w:r>
    </w:p>
    <w:p>
      <w:pPr>
        <w:pStyle w:val="Heading1"/>
        <w:shd w:fill="1F3864" w:val="clear"/>
        <w:spacing w:after="160" w:before="240"/>
      </w:pPr>
      <w:r>
        <w:rPr>
          <w:b/>
          <w:bCs/>
          <w:color w:val="FFFFFF"/>
          <w:sz w:val="24"/>
          <w:szCs w:val="24"/>
        </w:rPr>
        <w:t xml:space="preserve">Section 5 — Other Observations (Non-actionable)</w:t>
      </w:r>
    </w:p>
    <w:p>
      <w:pPr>
        <w:pStyle w:val="ListParagraph"/>
        <w:numPr>
          <w:ilvl w:val="0"/>
          <w:numId w:val="2"/>
        </w:numPr>
        <w:spacing w:after="90" w:line="268"/>
      </w:pPr>
      <w:r>
        <w:t xml:space="preserve">The estate is small with a limited external attack surface.</w:t>
      </w:r>
    </w:p>
    <w:p>
      <w:pPr>
        <w:pStyle w:val="ListParagraph"/>
        <w:numPr>
          <w:ilvl w:val="0"/>
          <w:numId w:val="2"/>
        </w:numPr>
        <w:spacing w:after="90" w:line="268"/>
      </w:pPr>
      <w:r>
        <w:t xml:space="preserve">Backups were taken regularly, though restoration was untested.</w:t>
      </w:r>
    </w:p>
    <w:p>
      <w:pPr>
        <w:pStyle w:val="ListParagraph"/>
        <w:numPr>
          <w:ilvl w:val="0"/>
          <w:numId w:val="2"/>
        </w:numPr>
        <w:spacing w:after="90" w:line="268"/>
      </w:pPr>
      <w:r>
        <w:t xml:space="preserve">DPSC Master Direction is not applicable to LABs per its applicability clause; baseline digital-channel hygiene was nevertheless reviewed.</w:t>
      </w:r>
    </w:p>
    <w:p>
      <w:r>
        <w:br w:type="page"/>
      </w:r>
    </w:p>
    <w:p>
      <w:pPr>
        <w:pStyle w:val="Heading1"/>
        <w:shd w:fill="1F3864" w:val="clear"/>
        <w:spacing w:after="160" w:before="240"/>
      </w:pPr>
      <w:r>
        <w:rPr>
          <w:b/>
          <w:bCs/>
          <w:color w:val="FFFFFF"/>
          <w:sz w:val="24"/>
          <w:szCs w:val="24"/>
        </w:rPr>
        <w:t xml:space="preserve">Annex I — Non-complied / Partially-complied Previous ITE Observations</w:t>
      </w:r>
    </w:p>
    <w:p>
      <w:pPr>
        <w:spacing w:after="120"/>
      </w:pPr>
      <w:r>
        <w:t xml:space="preserve">Details of ‘Not / Partially Complied’ observations from previous IT Examinations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500"/>
        <w:gridCol w:w="760"/>
        <w:gridCol w:w="3046"/>
        <w:gridCol w:w="12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Audit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Area</w:t>
            </w:r>
          </w:p>
        </w:tc>
        <w:tc>
          <w:tcPr>
            <w:tcW w:type="dxa" w:w="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w:t>
            </w:r>
          </w:p>
        </w:tc>
        <w:tc>
          <w:tcPr>
            <w:tcW w:type="dxa" w:w="30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Observation</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Remarks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Governance</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Information-security policy not periodically reviewed.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Patch Management</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Structured patching not implemented.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BCP/DR</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BCP/DR plan not documented; restoration untested.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bl>
    <w:p>
      <w:r>
        <w:br w:type="page"/>
      </w:r>
    </w:p>
    <w:p>
      <w:pPr>
        <w:pStyle w:val="Heading1"/>
        <w:shd w:fill="1F3864" w:val="clear"/>
        <w:spacing w:after="160" w:before="240"/>
      </w:pPr>
      <w:r>
        <w:rPr>
          <w:b/>
          <w:bCs/>
          <w:color w:val="FFFFFF"/>
          <w:sz w:val="24"/>
          <w:szCs w:val="24"/>
        </w:rPr>
        <w:t xml:space="preserve">Annex II — Non-compliance to Advisories and Alerts</w:t>
      </w:r>
    </w:p>
    <w:p>
      <w:pPr>
        <w:spacing w:after="120"/>
      </w:pPr>
      <w:r>
        <w:t xml:space="preserve">Details of advisories and alerts which were not / partially complied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2300"/>
        <w:gridCol w:w="35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Issued Date</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Advisory / Circular</w:t>
            </w:r>
          </w:p>
        </w:tc>
        <w:tc>
          <w:tcPr>
            <w:tcW w:type="dxa" w:w="3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Subject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13-Oct-23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7/2023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Un-authorized fraudulent transactions through Retail Internet Banking application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14/2023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Android Applications distributed via SMS / Email (social engineering)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9/2024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Ransomware incident — preventive controls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19-Dec-24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10/2024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Heightened caution during weekends / extended weekends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4"/>
        <w:szCs w:val="14"/>
      </w:rPr>
      <w:t xml:space="preserve">RBI — Department of Supervision — CSITEG  ·  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4"/>
        <w:szCs w:val="14"/>
      </w:rPr>
      <w:t xml:space="preserve">CONFIDENTIAL (Fictional)  |  HLAB  |  Draft Report on IT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Examination Report — Himgiri Local Area Bank Limited</dc:title>
  <dc:creator>RBI CSITEG (fictional sample)</dc:creator>
  <cp:lastModifiedBy>Un-named</cp:lastModifiedBy>
  <cp:revision>1</cp:revision>
  <dcterms:created xsi:type="dcterms:W3CDTF">2026-06-16T03:00:57.220Z</dcterms:created>
  <dcterms:modified xsi:type="dcterms:W3CDTF">2026-06-16T03:00:57.220Z</dcterms:modified>
</cp:coreProperties>
</file>

<file path=docProps/custom.xml><?xml version="1.0" encoding="utf-8"?>
<Properties xmlns="http://schemas.openxmlformats.org/officeDocument/2006/custom-properties" xmlns:vt="http://schemas.openxmlformats.org/officeDocument/2006/docPropsVTypes"/>
</file>