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Himgiri Local Area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DI_HLAB_3_2_1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Centralized patching and anti-malware management policy for endpoints</w:t>
      </w:r>
      <w:r>
        <w:rPr>
          <w:sz w:val="20"/>
        </w:rPr>
        <w:t xml:space="preserve"> at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was ad hoc, several endpoints lacked centrally managed anti-malware, and email-security controls were basic.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Himgiri Local Area Bank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Scheduled Commercial Banks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Basic Cyber Security Framework (BCSF) for Small Finance Banks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Himgiri Local Area Bank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Himgiri Local Area Bank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Himgiri Local Area Bank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