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Himgiri Local Area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DI_HLAB_3_2_1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Comprehensive patch management gap analysis with remediation plan</w:t>
      </w:r>
      <w:r>
        <w:rPr>
          <w:sz w:val="20"/>
        </w:rPr>
        <w:t xml:space="preserve"> at </w:t>
      </w:r>
      <w:r>
        <w:rPr>
          <w:b/>
          <w:sz w:val="20"/>
        </w:rPr>
        <w:t>Himgiri Local Area Bank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Patching was ad hoc, several endpoints lacked centrally managed anti-malware, and email-security controls were basic.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Himgiri Local Area Bank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Scheduled Commercial Banks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Basic Cyber Security Framework (BCSF) for Small Finance Banks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Himgiri Local Area Bank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Himgiri Local Area Bank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Himgiri Local Area Bank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Himgiri Local Area Bank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