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Himgiri Local Area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DI_HLAB_3_2_1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Standard operating procedure for email security controls and DMARC</w:t>
      </w:r>
      <w:r>
        <w:rPr>
          <w:sz w:val="20"/>
        </w:rPr>
        <w:t xml:space="preserve"> at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was ad hoc, several endpoints lacked centrally managed anti-malware, and email-security controls were basic.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Himgiri Local Area Bank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Scheduled Commercial Banks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Basic Cyber Security Framework (BCSF) for Small Finance Banks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Himgiri Local Area Bank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