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Himgiri Local Area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DI_HLAB_3_4_1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Standard operating procedure for BCP/DR plan development and maintenance</w:t>
      </w:r>
      <w:r>
        <w:rPr>
          <w:sz w:val="20"/>
        </w:rPr>
        <w:t xml:space="preserve"> at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A documented BCP / DR plan was not in place and backup restoration was not tested.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Himgiri Local Area Bank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Scheduled Commercial Banks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Basic Cyber Security Framework (BCSF) for Small Finance Banks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Himgiri Local Area Bank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