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
        <w:jc w:val="center"/>
      </w:pPr>
      <w:r>
        <w:rPr>
          <w:b/>
          <w:bCs/>
          <w:color w:val="C00000"/>
          <w:sz w:val="26"/>
          <w:szCs w:val="26"/>
        </w:rPr>
        <w:t xml:space="preserve">CONFIDENTIAL</w:t>
      </w:r>
    </w:p>
    <w:p>
      <w:pPr>
        <w:spacing w:after="40"/>
        <w:jc w:val="center"/>
      </w:pPr>
      <w:r>
        <w:rPr>
          <w:b/>
          <w:bCs/>
          <w:color w:val="1F3864"/>
          <w:sz w:val="30"/>
          <w:szCs w:val="30"/>
        </w:rPr>
        <w:t xml:space="preserve">RESERVE BANK OF INDIA</w:t>
      </w:r>
    </w:p>
    <w:p>
      <w:pPr>
        <w:spacing w:after="40"/>
        <w:jc w:val="center"/>
      </w:pPr>
      <w:r>
        <w:rPr>
          <w:b/>
          <w:bCs/>
          <w:color w:val="1F3864"/>
          <w:sz w:val="24"/>
          <w:szCs w:val="24"/>
        </w:rPr>
        <w:t xml:space="preserve">DEPARTMENT OF SUPERVISION</w:t>
      </w:r>
    </w:p>
    <w:p>
      <w:pPr>
        <w:spacing w:after="360"/>
        <w:jc w:val="center"/>
      </w:pPr>
      <w:r>
        <w:rPr>
          <w:b/>
          <w:bCs/>
          <w:color w:val="595959"/>
          <w:sz w:val="22"/>
          <w:szCs w:val="22"/>
        </w:rPr>
        <w:t xml:space="preserve">Cyber Security and IT Examination Group (CSITEG)</w:t>
      </w:r>
    </w:p>
    <w:p>
      <w:pPr>
        <w:spacing w:after="280"/>
        <w:jc w:val="center"/>
      </w:pPr>
      <w:r>
        <w:rPr>
          <w:b/>
          <w:bCs/>
          <w:color w:val="2E5496"/>
          <w:sz w:val="26"/>
          <w:szCs w:val="26"/>
        </w:rPr>
        <w:t xml:space="preserve">Draft Report on IT Examination</w:t>
      </w:r>
    </w:p>
    <w:p>
      <w:pPr>
        <w:spacing w:after="60"/>
        <w:jc w:val="center"/>
      </w:pPr>
      <w:r>
        <w:rPr>
          <w:b/>
          <w:bCs/>
          <w:color w:val="1F3864"/>
          <w:sz w:val="36"/>
          <w:szCs w:val="36"/>
        </w:rPr>
        <w:t xml:space="preserve">Pragati Co-operative Bank Limited</w:t>
      </w:r>
    </w:p>
    <w:p>
      <w:pPr>
        <w:spacing w:after="200"/>
        <w:jc w:val="center"/>
      </w:pPr>
      <w:r>
        <w:rPr>
          <w:b w:val="false"/>
          <w:bCs w:val="false"/>
          <w:i/>
          <w:iCs/>
          <w:color w:val="595959"/>
          <w:sz w:val="20"/>
          <w:szCs w:val="20"/>
        </w:rPr>
        <w:t xml:space="preserve">Scheduled multi-State Primary (Urban) Co-operative Bank — Cyber Framework Level III / IV</w:t>
      </w:r>
    </w:p>
    <w:p>
      <w:pPr>
        <w:spacing w:after="60"/>
        <w:jc w:val="center"/>
      </w:pPr>
      <w:r>
        <w:rPr>
          <w:b/>
          <w:bCs/>
          <w:color w:val="262626"/>
          <w:sz w:val="22"/>
          <w:szCs w:val="22"/>
        </w:rPr>
        <w:t xml:space="preserve">January 20 to 29, 2025</w:t>
      </w:r>
    </w:p>
    <w:p>
      <w:pPr>
        <w:spacing w:after="400"/>
        <w:jc w:val="center"/>
      </w:pPr>
      <w:r>
        <w:rPr>
          <w:b w:val="false"/>
          <w:bCs w:val="false"/>
          <w:color w:val="595959"/>
          <w:sz w:val="18"/>
          <w:szCs w:val="18"/>
        </w:rPr>
        <w:t xml:space="preserve">Examination reference: DoS.CO.CSITEG.ITE.UCB.0223/2024-25</w:t>
      </w:r>
    </w:p>
    <w:p>
      <w:pPr>
        <w:pBdr>
          <w:top w:val="single" w:color="C00000" w:sz="6" w:space="6"/>
          <w:bottom w:val="single" w:color="C00000" w:sz="6" w:space="6"/>
        </w:pBdr>
        <w:spacing w:after="40" w:before="300"/>
        <w:jc w:val="center"/>
      </w:pPr>
      <w:r>
        <w:rPr>
          <w:b/>
          <w:bCs/>
          <w:color w:val="C00000"/>
          <w:sz w:val="16"/>
          <w:szCs w:val="16"/>
        </w:rPr>
        <w:t xml:space="preserve">FICTIONAL / ILLUSTRATIVE SAMPLE — NOT A REAL SUPERVISORY DOCUMENT</w:t>
      </w:r>
    </w:p>
    <w:p>
      <w:pPr>
        <w:jc w:val="center"/>
      </w:pPr>
      <w:r>
        <w:rPr>
          <w:i/>
          <w:iCs/>
          <w:color w:val="595959"/>
          <w:sz w:val="15"/>
          <w:szCs w:val="15"/>
        </w:rPr>
        <w:t xml:space="preserve">All entities, persons, systems, vendors, data and findings herein are entirely fictional.</w:t>
      </w:r>
    </w:p>
    <w:p>
      <w:r>
        <w:br w:type="page"/>
      </w:r>
    </w:p>
    <w:p>
      <w:pPr>
        <w:pStyle w:val="Heading1"/>
        <w:shd w:fill="1F3864" w:val="clear"/>
        <w:spacing w:after="160" w:before="240"/>
      </w:pPr>
      <w:r>
        <w:rPr>
          <w:b/>
          <w:bCs/>
          <w:color w:val="FFFFFF"/>
          <w:sz w:val="24"/>
          <w:szCs w:val="24"/>
        </w:rPr>
        <w:t xml:space="preserve">CONTENT</w:t>
      </w:r>
    </w:p>
    <w:sdt>
      <w:sdtPr>
        <w:alias w:val="Content"/>
      </w:sdtPr>
      <w:sdtContent>
        <w:p>
          <w:r>
            <w:fldChar w:fldCharType="begin" w:dirty="true"/>
            <w:instrText xml:space="preserve">TOC \h \o "1-1"</w:instrText>
            <w:fldChar w:fldCharType="separate"/>
          </w:r>
        </w:p>
        <w:p>
          <w:r>
            <w:fldChar w:fldCharType="end"/>
          </w:r>
        </w:p>
      </w:sdtContent>
    </w:sdt>
    <w:p>
      <w:r>
        <w:br w:type="page"/>
      </w:r>
    </w:p>
    <w:p>
      <w:pPr>
        <w:pStyle w:val="Heading1"/>
        <w:shd w:fill="1F3864" w:val="clear"/>
        <w:spacing w:after="160" w:before="240"/>
      </w:pPr>
      <w:r>
        <w:rPr>
          <w:b/>
          <w:bCs/>
          <w:color w:val="FFFFFF"/>
          <w:sz w:val="24"/>
          <w:szCs w:val="24"/>
        </w:rPr>
        <w:t xml:space="preserve">Section 1: Background and Introduction</w:t>
      </w:r>
    </w:p>
    <w:p>
      <w:pPr>
        <w:spacing w:after="120" w:line="276"/>
      </w:pPr>
      <w:r>
        <w:rPr>
          <w:b/>
          <w:bCs/>
        </w:rPr>
        <w:t xml:space="preserve">1.1   </w:t>
      </w:r>
      <w:r>
        <w:t xml:space="preserve">The IT Examination of Pragati Co-operative Bank Limited (Level – III UCB) was conducted January 20 to 29, 2025. The focus of the examination was to assess the cyber security risk in the entity by examining in detail the cyber security and resilience framework implemented by the entity in terms of the following circulars / directions of the Reserve Bank of India (RBI):</w:t>
      </w:r>
    </w:p>
    <w:p>
      <w:pPr>
        <w:pStyle w:val="ListParagraph"/>
        <w:numPr>
          <w:ilvl w:val="0"/>
          <w:numId w:val="2"/>
        </w:numPr>
        <w:spacing w:after="80" w:line="264"/>
      </w:pPr>
      <w:r>
        <w:t xml:space="preserve">RBI Circular DCBS.CO.PCB.Cir.No.1/18.01.000/2018-19 on Basic Cyber Security Framework for Primary (Urban) Co-operative Banks (UCBs) dated October 19, 2018.</w:t>
      </w:r>
    </w:p>
    <w:p>
      <w:pPr>
        <w:pStyle w:val="ListParagraph"/>
        <w:numPr>
          <w:ilvl w:val="0"/>
          <w:numId w:val="2"/>
        </w:numPr>
        <w:spacing w:after="80" w:line="264"/>
      </w:pPr>
      <w:r>
        <w:t xml:space="preserve">RBI Circular DoS.CO/CSITE/BC.4083/31.01.052/2019-20 on Comprehensive Cyber Security Framework for Primary (Urban) Co-operative Banks (UCBs) – A Graded Approach dated December 31, 2019.</w:t>
      </w:r>
    </w:p>
    <w:p>
      <w:pPr>
        <w:pStyle w:val="ListParagraph"/>
        <w:numPr>
          <w:ilvl w:val="0"/>
          <w:numId w:val="2"/>
        </w:numPr>
        <w:spacing w:after="80" w:line="264"/>
      </w:pPr>
      <w:r>
        <w:t xml:space="preserve">RBI Master Direction DoS.CO.CSITE.SEC.No.1852/31.01.015/2020-21 on Digital Payment Security Controls dated February 18, 2021.</w:t>
      </w:r>
    </w:p>
    <w:p>
      <w:pPr>
        <w:pStyle w:val="ListParagraph"/>
        <w:numPr>
          <w:ilvl w:val="0"/>
          <w:numId w:val="2"/>
        </w:numPr>
        <w:spacing w:after="80" w:line="264"/>
      </w:pPr>
      <w:r>
        <w:t xml:space="preserve">Master Direction DoS.CO.CSITEG/SEC.1/31.01.015/2023-24 on Outsourcing of Information Technology Services dated April 10, 2023.</w:t>
      </w:r>
    </w:p>
    <w:p>
      <w:pPr>
        <w:spacing w:after="120" w:line="276"/>
      </w:pPr>
      <w:r>
        <w:rPr>
          <w:b/>
          <w:bCs/>
        </w:rPr>
        <w:t xml:space="preserve">1.2   </w:t>
      </w:r>
      <w:r>
        <w:t xml:space="preserve">The approach adopted for the examination included the following:</w:t>
      </w:r>
    </w:p>
    <w:p>
      <w:pPr>
        <w:pStyle w:val="ListParagraph"/>
        <w:numPr>
          <w:ilvl w:val="0"/>
          <w:numId w:val="2"/>
        </w:numPr>
        <w:spacing w:after="90" w:line="268"/>
      </w:pPr>
      <w:r>
        <w:t xml:space="preserve">Meetings with the entity on IT / Information Security (IS) / Cyber Security (CS) organizational structure, measures implemented, enterprise architecture for applications and infrastructure, digital initiatives and cyber security roadmap.</w:t>
      </w:r>
    </w:p>
    <w:p>
      <w:pPr>
        <w:pStyle w:val="ListParagraph"/>
        <w:numPr>
          <w:ilvl w:val="0"/>
          <w:numId w:val="2"/>
        </w:numPr>
        <w:spacing w:after="90" w:line="268"/>
      </w:pPr>
      <w:r>
        <w:t xml:space="preserve">Structured meetings and interactions with Head-IT, select business / technology functions, the Chief Information Security Officer (CISO), IT operations, IT / IS security teams and IS-Audit.</w:t>
      </w:r>
    </w:p>
    <w:p>
      <w:pPr>
        <w:pStyle w:val="ListParagraph"/>
        <w:numPr>
          <w:ilvl w:val="0"/>
          <w:numId w:val="2"/>
        </w:numPr>
        <w:spacing w:after="90" w:line="268"/>
      </w:pPr>
      <w:r>
        <w:t xml:space="preserve">Perusal / review of agenda and minutes of committee meetings, IT / IS audit reports, BCP / DR documentation and VA/PT reports, on a sample basis.</w:t>
      </w:r>
    </w:p>
    <w:p>
      <w:pPr>
        <w:pStyle w:val="ListParagraph"/>
        <w:numPr>
          <w:ilvl w:val="0"/>
          <w:numId w:val="2"/>
        </w:numPr>
        <w:spacing w:after="90" w:line="268"/>
      </w:pPr>
      <w:r>
        <w:t xml:space="preserve">Walkthrough of security solutions, infrastructure and applications, on a sample basis, as demonstrated by the entity.</w:t>
      </w:r>
    </w:p>
    <w:p>
      <w:pPr>
        <w:pStyle w:val="ListParagraph"/>
        <w:numPr>
          <w:ilvl w:val="0"/>
          <w:numId w:val="2"/>
        </w:numPr>
        <w:spacing w:after="90" w:line="268"/>
      </w:pPr>
      <w:r>
        <w:t xml:space="preserve">Response of the entity to specific queries / clarifications elicited.</w:t>
      </w:r>
    </w:p>
    <w:p>
      <w:pPr>
        <w:pStyle w:val="ListParagraph"/>
        <w:numPr>
          <w:ilvl w:val="0"/>
          <w:numId w:val="2"/>
        </w:numPr>
        <w:spacing w:after="90" w:line="268"/>
      </w:pPr>
      <w:r>
        <w:t xml:space="preserve">Compliance testing rather than substantive testing.</w:t>
      </w:r>
    </w:p>
    <w:p>
      <w:pPr>
        <w:pStyle w:val="ListParagraph"/>
        <w:numPr>
          <w:ilvl w:val="0"/>
          <w:numId w:val="2"/>
        </w:numPr>
        <w:spacing w:after="90" w:line="268"/>
      </w:pPr>
      <w:r>
        <w:t xml:space="preserve">Visit to the Data Centre (DC) and near Disaster Recovery (DR) site of the bank.</w:t>
      </w:r>
    </w:p>
    <w:p>
      <w:pPr>
        <w:spacing w:after="120" w:line="276"/>
      </w:pPr>
      <w:r>
        <w:rPr>
          <w:b/>
          <w:bCs/>
        </w:rPr>
        <w:t xml:space="preserve">1.3   </w:t>
      </w:r>
      <w:r>
        <w:t xml:space="preserve">Cyber security risk assessment is a point-in-time assessment subject to change over a period. Even though observations are made based on sample data / systems, the entity needs to ensure that the issues raised are resolved at a systemic level (holistically) and that necessary systems / controls are in place to ensure sustenance of such compliance.</w:t>
      </w:r>
    </w:p>
    <w:p>
      <w:pPr>
        <w:spacing w:after="120" w:line="276"/>
      </w:pPr>
      <w:r>
        <w:rPr>
          <w:b/>
          <w:bCs/>
        </w:rPr>
        <w:t xml:space="preserve">1.4   </w:t>
      </w:r>
      <w:r>
        <w:t xml:space="preserve">Profile of the entity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126"/>
        <w:gridCol w:w="3100"/>
      </w:tblGrid>
      <w:tr>
        <w:trPr>
          <w:tblHeader/>
        </w:trPr>
        <w:tc>
          <w:tcPr>
            <w:tcW w:type="dxa" w:w="8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Sr. No.</w:t>
            </w:r>
          </w:p>
        </w:tc>
        <w:tc>
          <w:tcPr>
            <w:tcW w:type="dxa" w:w="512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Parameter</w:t>
            </w:r>
          </w:p>
        </w:tc>
        <w:tc>
          <w:tcPr>
            <w:tcW w:type="dxa" w:w="31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As on March 31, 2024</w:t>
            </w:r>
          </w:p>
        </w:tc>
      </w:tr>
      <w:t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1</w:t>
            </w:r>
          </w:p>
        </w:tc>
        <w:tc>
          <w:tcPr>
            <w:tcW w:type="dxa" w:w="5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Asset size of the Supervised Entity (₹ in crore)</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18,420.00</w:t>
            </w:r>
          </w:p>
        </w:tc>
      </w:tr>
      <w:t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2</w:t>
            </w:r>
          </w:p>
        </w:tc>
        <w:tc>
          <w:tcPr>
            <w:tcW w:type="dxa" w:w="5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Number of retail customers</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17,06,540</w:t>
            </w:r>
          </w:p>
        </w:tc>
      </w:tr>
      <w:t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3</w:t>
            </w:r>
          </w:p>
        </w:tc>
        <w:tc>
          <w:tcPr>
            <w:tcW w:type="dxa" w:w="5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Customers using Internet Banking</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2,84,120</w:t>
            </w:r>
          </w:p>
        </w:tc>
      </w:tr>
      <w:t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4</w:t>
            </w:r>
          </w:p>
        </w:tc>
        <w:tc>
          <w:tcPr>
            <w:tcW w:type="dxa" w:w="5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Customers using Mobile Banking</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3,96,880</w:t>
            </w:r>
          </w:p>
        </w:tc>
      </w:tr>
      <w:t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5</w:t>
            </w:r>
          </w:p>
        </w:tc>
        <w:tc>
          <w:tcPr>
            <w:tcW w:type="dxa" w:w="5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Customers using UPI</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4,11,260</w:t>
            </w:r>
          </w:p>
        </w:tc>
      </w:tr>
      <w:t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6</w:t>
            </w:r>
          </w:p>
        </w:tc>
        <w:tc>
          <w:tcPr>
            <w:tcW w:type="dxa" w:w="5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Number of ATMs / ATM cards issued</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165 / 5,84,310</w:t>
            </w:r>
          </w:p>
        </w:tc>
      </w:tr>
      <w:t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7</w:t>
            </w:r>
          </w:p>
        </w:tc>
        <w:tc>
          <w:tcPr>
            <w:tcW w:type="dxa" w:w="5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Top two channels of digital transactions</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UPI &amp; Card</w:t>
            </w:r>
          </w:p>
        </w:tc>
      </w:tr>
      <w:t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8</w:t>
            </w:r>
          </w:p>
        </w:tc>
        <w:tc>
          <w:tcPr>
            <w:tcW w:type="dxa" w:w="5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Volume of SWIFT transactions (CY2024)</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14,260</w:t>
            </w:r>
          </w:p>
        </w:tc>
      </w:tr>
      <w:t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9</w:t>
            </w:r>
          </w:p>
        </w:tc>
        <w:tc>
          <w:tcPr>
            <w:tcW w:type="dxa" w:w="5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Critical assets identified</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Payment Channel Switches, HSM, CBS (vendor-hosted)</w:t>
            </w:r>
          </w:p>
        </w:tc>
      </w:tr>
      <w:t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10</w:t>
            </w:r>
          </w:p>
        </w:tc>
        <w:tc>
          <w:tcPr>
            <w:tcW w:type="dxa" w:w="5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Cloud services used</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SaaS SIEM, SaaS email security, SaaS anti-malware / XDR</w:t>
            </w:r>
          </w:p>
        </w:tc>
      </w:tr>
    </w:tbl>
    <w:p>
      <w:r>
        <w:br w:type="page"/>
      </w:r>
    </w:p>
    <w:p>
      <w:pPr>
        <w:pStyle w:val="Heading1"/>
        <w:shd w:fill="1F3864" w:val="clear"/>
        <w:spacing w:after="160" w:before="240"/>
      </w:pPr>
      <w:r>
        <w:rPr>
          <w:b/>
          <w:bCs/>
          <w:color w:val="FFFFFF"/>
          <w:sz w:val="24"/>
          <w:szCs w:val="24"/>
        </w:rPr>
        <w:t xml:space="preserve">Section 2: Executive Summary</w:t>
      </w:r>
    </w:p>
    <w:p>
      <w:pPr>
        <w:pStyle w:val="Heading2"/>
        <w:shd w:fill="DCE6F1" w:val="clear"/>
        <w:spacing w:after="100" w:before="180"/>
      </w:pPr>
      <w:r>
        <w:rPr>
          <w:b/>
          <w:bCs/>
          <w:color w:val="1F3864"/>
          <w:sz w:val="21"/>
          <w:szCs w:val="21"/>
        </w:rPr>
        <w:t xml:space="preserve">Information Technology (IT) and Information Security (IS) Governance</w:t>
      </w:r>
    </w:p>
    <w:p>
      <w:pPr>
        <w:pStyle w:val="ListParagraph"/>
        <w:numPr>
          <w:ilvl w:val="0"/>
          <w:numId w:val="2"/>
        </w:numPr>
        <w:spacing w:after="90" w:line="268"/>
      </w:pPr>
      <w:r>
        <w:t xml:space="preserve">The Board had limited IT / cyber expertise and the CISO also held operational IT responsibilities, diluting independence.</w:t>
      </w:r>
    </w:p>
    <w:p>
      <w:pPr>
        <w:pStyle w:val="ListParagraph"/>
        <w:numPr>
          <w:ilvl w:val="0"/>
          <w:numId w:val="2"/>
        </w:numPr>
        <w:spacing w:after="90" w:line="268"/>
      </w:pPr>
      <w:r>
        <w:t xml:space="preserve">No Board-approved SOP / policy was in place for the CBS migration carried out during the period; a post-migration audit identified balance discrepancies and funds parked in migration GL heads, which were not fully reconciled.</w:t>
      </w:r>
    </w:p>
    <w:p>
      <w:pPr>
        <w:pStyle w:val="Heading2"/>
        <w:shd w:fill="DCE6F1" w:val="clear"/>
        <w:spacing w:after="100" w:before="180"/>
      </w:pPr>
      <w:r>
        <w:rPr>
          <w:b/>
          <w:bCs/>
          <w:color w:val="1F3864"/>
          <w:sz w:val="21"/>
          <w:szCs w:val="21"/>
        </w:rPr>
        <w:t xml:space="preserve">Cyber Security Operation Centre (C-SOC)</w:t>
      </w:r>
    </w:p>
    <w:p>
      <w:pPr>
        <w:pStyle w:val="ListParagraph"/>
        <w:numPr>
          <w:ilvl w:val="0"/>
          <w:numId w:val="2"/>
        </w:numPr>
        <w:spacing w:after="90" w:line="268"/>
      </w:pPr>
      <w:r>
        <w:t xml:space="preserve">The C-SOC expected at the bank's level was not fully operational with 24x7 monitoring and defined use-cases (Annex IV).</w:t>
      </w:r>
    </w:p>
    <w:p>
      <w:pPr>
        <w:pStyle w:val="Heading2"/>
        <w:shd w:fill="DCE6F1" w:val="clear"/>
        <w:spacing w:after="100" w:before="180"/>
      </w:pPr>
      <w:r>
        <w:rPr>
          <w:b/>
          <w:bCs/>
          <w:color w:val="1F3864"/>
          <w:sz w:val="21"/>
          <w:szCs w:val="21"/>
        </w:rPr>
        <w:t xml:space="preserve">Fraud Risk Management</w:t>
      </w:r>
    </w:p>
    <w:p>
      <w:pPr>
        <w:pStyle w:val="ListParagraph"/>
        <w:numPr>
          <w:ilvl w:val="0"/>
          <w:numId w:val="2"/>
        </w:numPr>
        <w:spacing w:after="90" w:line="268"/>
      </w:pPr>
      <w:r>
        <w:t xml:space="preserve">Risk-Based Transaction Monitoring (Annex III) was partially implemented; certain channels were not integrated and 24x7 monitoring was not enabled.</w:t>
      </w:r>
    </w:p>
    <w:p>
      <w:r>
        <w:br w:type="page"/>
      </w:r>
    </w:p>
    <w:p>
      <w:pPr>
        <w:pStyle w:val="Heading1"/>
        <w:shd w:fill="1F3864" w:val="clear"/>
        <w:spacing w:after="160" w:before="240"/>
      </w:pPr>
      <w:r>
        <w:rPr>
          <w:b/>
          <w:bCs/>
          <w:color w:val="FFFFFF"/>
          <w:sz w:val="24"/>
          <w:szCs w:val="24"/>
        </w:rPr>
        <w:t xml:space="preserve">Section 3: IT Examination Observations and Action Points</w:t>
      </w:r>
    </w:p>
    <w:p>
      <w:pPr>
        <w:pStyle w:val="Heading2"/>
        <w:shd w:fill="DCE6F1" w:val="clear"/>
        <w:spacing w:after="100" w:before="180"/>
      </w:pPr>
      <w:r>
        <w:rPr>
          <w:b/>
          <w:bCs/>
          <w:color w:val="1F3864"/>
          <w:sz w:val="21"/>
          <w:szCs w:val="21"/>
        </w:rPr>
        <w:t xml:space="preserve">Information Technology (IT) and Information Security (IS) Governance</w:t>
      </w:r>
    </w:p>
    <w:p>
      <w:pPr>
        <w:pStyle w:val="ListParagraph"/>
        <w:numPr>
          <w:ilvl w:val="0"/>
          <w:numId w:val="2"/>
        </w:numPr>
        <w:tabs>
          <w:tab w:val="right" w:pos="8926"/>
        </w:tabs>
        <w:spacing w:after="90" w:line="268"/>
      </w:pPr>
      <w:r>
        <w:t xml:space="preserve">The Board had limited IT / cyber expertise and the CISO, though designated, also held operational IT responsibilities, diluting independence.</w:t>
      </w:r>
      <w:r>
        <w:rPr>
          <w:b/>
          <w:bCs/>
        </w:rPr>
        <w:t xml:space="preserve">	(Action)</w:t>
      </w:r>
    </w:p>
    <w:p>
      <w:pPr>
        <w:pStyle w:val="ListParagraph"/>
        <w:numPr>
          <w:ilvl w:val="0"/>
          <w:numId w:val="2"/>
        </w:numPr>
        <w:tabs>
          <w:tab w:val="right" w:pos="8926"/>
        </w:tabs>
        <w:spacing w:after="90" w:line="268"/>
      </w:pPr>
      <w:r>
        <w:t xml:space="preserve">No Board-approved SOP / policy was in place for the CBS migration carried out during the period; a post-migration audit identified discrepancies in balances and funds parked in multiple migration GL heads, which were not reconciled as on the date of examination.</w:t>
      </w:r>
      <w:r>
        <w:rPr>
          <w:b/>
          <w:bCs/>
        </w:rPr>
        <w:t xml:space="preserve">	(Action)</w:t>
      </w:r>
    </w:p>
    <w:p>
      <w:pPr>
        <w:pStyle w:val="ListParagraph"/>
        <w:numPr>
          <w:ilvl w:val="0"/>
          <w:numId w:val="2"/>
        </w:numPr>
        <w:tabs>
          <w:tab w:val="right" w:pos="8926"/>
        </w:tabs>
        <w:spacing w:after="90" w:line="268"/>
      </w:pPr>
      <w:r>
        <w:t xml:space="preserve">The Digital Payment Security Controls Policy did not articulate the digital payment cycle and exception handling per product, which was non-adherence to para 4 of Chapter II of the DPSC Master Direction.</w:t>
      </w:r>
      <w:r>
        <w:rPr>
          <w:b/>
          <w:bCs/>
        </w:rPr>
        <w:t xml:space="preserve">	(Action)</w:t>
      </w:r>
    </w:p>
    <w:p>
      <w:pPr>
        <w:pStyle w:val="Heading2"/>
        <w:shd w:fill="DCE6F1" w:val="clear"/>
        <w:spacing w:after="100" w:before="180"/>
      </w:pPr>
      <w:r>
        <w:rPr>
          <w:b/>
          <w:bCs/>
          <w:color w:val="1F3864"/>
          <w:sz w:val="21"/>
          <w:szCs w:val="21"/>
        </w:rPr>
        <w:t xml:space="preserve">Information System (IS) Audit</w:t>
      </w:r>
    </w:p>
    <w:p>
      <w:pPr>
        <w:pStyle w:val="ListParagraph"/>
        <w:numPr>
          <w:ilvl w:val="0"/>
          <w:numId w:val="2"/>
        </w:numPr>
        <w:tabs>
          <w:tab w:val="right" w:pos="8926"/>
        </w:tabs>
        <w:spacing w:after="90" w:line="268"/>
      </w:pPr>
      <w:r>
        <w:t xml:space="preserve">Five observations including a High-risk observation (database security) from the previous IS audit were open as on the date of examination.</w:t>
      </w:r>
      <w:r>
        <w:rPr>
          <w:b/>
          <w:bCs/>
        </w:rPr>
        <w:t xml:space="preserve">	(Action)</w:t>
      </w:r>
    </w:p>
    <w:p>
      <w:pPr>
        <w:pStyle w:val="Heading2"/>
        <w:shd w:fill="DCE6F1" w:val="clear"/>
        <w:spacing w:after="100" w:before="180"/>
      </w:pPr>
      <w:r>
        <w:rPr>
          <w:b/>
          <w:bCs/>
          <w:color w:val="1F3864"/>
          <w:sz w:val="21"/>
          <w:szCs w:val="21"/>
        </w:rPr>
        <w:t xml:space="preserve">Inventory Management of Business IT Assets</w:t>
      </w:r>
    </w:p>
    <w:p>
      <w:pPr>
        <w:spacing w:after="120" w:line="276"/>
      </w:pPr>
      <w:r>
        <w:t xml:space="preserve">The following gaps were observed, which were in violation of para 1.1 of Annex-I of the Basic Cyber Security Framework dated October 19, 2018 and para 1.1 of Annex-I of the Comprehensive (Graded) Framework dated December 31, 2019:</w:t>
      </w:r>
    </w:p>
    <w:p>
      <w:pPr>
        <w:pStyle w:val="ListParagraph"/>
        <w:numPr>
          <w:ilvl w:val="0"/>
          <w:numId w:val="2"/>
        </w:numPr>
        <w:tabs>
          <w:tab w:val="right" w:pos="8926"/>
        </w:tabs>
        <w:spacing w:after="90" w:line="268"/>
      </w:pPr>
      <w:r>
        <w:t xml:space="preserve">The following End-of-Life / End-of-Support systems were active in the environment without an upgrade / replacement plan:</w:t>
      </w:r>
      <w:r>
        <w:rPr>
          <w:b/>
          <w:bCs/>
        </w:rPr>
        <w:t xml:space="preserve">	(Action 3.1 to 3.2)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No. of Servers / DB</w:t>
            </w:r>
          </w:p>
        </w:tc>
        <w:tc>
          <w:tcPr>
            <w:tcW w:type="dxa" w:w="32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Operating System / Database</w:t>
            </w:r>
          </w:p>
        </w:tc>
        <w:tc>
          <w:tcPr>
            <w:tcW w:type="dxa" w:w="342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End of Support Date</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4</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Windows Server 2008</w:t>
            </w:r>
          </w:p>
        </w:tc>
        <w:tc>
          <w:tcPr>
            <w:tcW w:type="dxa" w:w="34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January 14, 2020</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8</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Microsoft SQL Server 2012</w:t>
            </w:r>
          </w:p>
        </w:tc>
        <w:tc>
          <w:tcPr>
            <w:tcW w:type="dxa" w:w="34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July 12, 2023</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2</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Oracle 11g</w:t>
            </w:r>
          </w:p>
        </w:tc>
        <w:tc>
          <w:tcPr>
            <w:tcW w:type="dxa" w:w="34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December 31, 2020</w:t>
            </w:r>
          </w:p>
        </w:tc>
      </w:tr>
    </w:tbl>
    <w:p>
      <w:pPr>
        <w:pStyle w:val="ListParagraph"/>
        <w:numPr>
          <w:ilvl w:val="0"/>
          <w:numId w:val="2"/>
        </w:numPr>
        <w:tabs>
          <w:tab w:val="right" w:pos="8926"/>
        </w:tabs>
        <w:spacing w:after="90" w:line="268"/>
      </w:pPr>
      <w:r>
        <w:t xml:space="preserve">The CBS application was not included in the application inventory and the inventory did not capture whether hosted applications were public-facing or internal.</w:t>
      </w:r>
      <w:r>
        <w:rPr>
          <w:b/>
          <w:bCs/>
        </w:rPr>
        <w:t xml:space="preserve">	(Action)</w:t>
      </w:r>
    </w:p>
    <w:p>
      <w:pPr>
        <w:pStyle w:val="Heading2"/>
        <w:shd w:fill="DCE6F1" w:val="clear"/>
        <w:spacing w:after="100" w:before="180"/>
      </w:pPr>
      <w:r>
        <w:rPr>
          <w:b/>
          <w:bCs/>
          <w:color w:val="1F3864"/>
          <w:sz w:val="21"/>
          <w:szCs w:val="21"/>
        </w:rPr>
        <w:t xml:space="preserve">Network Management and Security</w:t>
      </w:r>
    </w:p>
    <w:p>
      <w:pPr>
        <w:spacing w:after="120" w:line="276"/>
      </w:pPr>
      <w:r>
        <w:t xml:space="preserve">The following gaps were observed, which were in violation of para 1 of Annex-III of the Comprehensive (Graded) Framework dated December 31, 2019:</w:t>
      </w:r>
    </w:p>
    <w:p>
      <w:pPr>
        <w:pStyle w:val="ListParagraph"/>
        <w:numPr>
          <w:ilvl w:val="0"/>
          <w:numId w:val="2"/>
        </w:numPr>
        <w:tabs>
          <w:tab w:val="right" w:pos="8926"/>
        </w:tabs>
        <w:spacing w:after="90" w:line="268"/>
      </w:pPr>
      <w:r>
        <w:t xml:space="preserve">Access to the internet / MPLS core routers was not restricted to specific IP addresses and was allowed to the entire subnet of the bank's network.</w:t>
      </w:r>
      <w:r>
        <w:rPr>
          <w:b/>
          <w:bCs/>
        </w:rPr>
        <w:t xml:space="preserve">	(Action)</w:t>
      </w:r>
    </w:p>
    <w:p>
      <w:pPr>
        <w:pStyle w:val="ListParagraph"/>
        <w:numPr>
          <w:ilvl w:val="0"/>
          <w:numId w:val="2"/>
        </w:numPr>
        <w:tabs>
          <w:tab w:val="right" w:pos="8926"/>
        </w:tabs>
        <w:spacing w:after="90" w:line="268"/>
      </w:pPr>
      <w:r>
        <w:t xml:space="preserve">Perimeter firewalls were running with outdated firmware and multiple firewall rules with destination ‘ANY’ / insecure ports were configured without justification.</w:t>
      </w:r>
      <w:r>
        <w:rPr>
          <w:b/>
          <w:bCs/>
        </w:rPr>
        <w:t xml:space="preserve">	(Action)</w:t>
      </w:r>
    </w:p>
    <w:p>
      <w:pPr>
        <w:pStyle w:val="Heading2"/>
        <w:shd w:fill="DCE6F1" w:val="clear"/>
        <w:spacing w:after="100" w:before="180"/>
      </w:pPr>
      <w:r>
        <w:rPr>
          <w:b/>
          <w:bCs/>
          <w:color w:val="1F3864"/>
          <w:sz w:val="21"/>
          <w:szCs w:val="21"/>
        </w:rPr>
        <w:t xml:space="preserve">Secure Configuration</w:t>
      </w:r>
    </w:p>
    <w:p>
      <w:pPr>
        <w:spacing w:after="120" w:line="276"/>
      </w:pPr>
      <w:r>
        <w:t xml:space="preserve">The following gaps were observed, which were in violation of para 2 of Annex-III of the Comprehensive (Graded) Framework dated December 31, 2019:</w:t>
      </w:r>
    </w:p>
    <w:p>
      <w:pPr>
        <w:pStyle w:val="ListParagraph"/>
        <w:numPr>
          <w:ilvl w:val="0"/>
          <w:numId w:val="2"/>
        </w:numPr>
        <w:tabs>
          <w:tab w:val="right" w:pos="8926"/>
        </w:tabs>
        <w:spacing w:after="90" w:line="268"/>
      </w:pPr>
      <w:r>
        <w:t xml:space="preserve">Secure Configuration Documents were not defined for several network devices, security solutions and middleware, and periodic configuration review was not performed against the defined periodicity.</w:t>
      </w:r>
      <w:r>
        <w:rPr>
          <w:b/>
          <w:bCs/>
        </w:rPr>
        <w:t xml:space="preserve">	(Action)</w:t>
      </w:r>
    </w:p>
    <w:p>
      <w:pPr>
        <w:pStyle w:val="Heading2"/>
        <w:shd w:fill="DCE6F1" w:val="clear"/>
        <w:spacing w:after="100" w:before="180"/>
      </w:pPr>
      <w:r>
        <w:rPr>
          <w:b/>
          <w:bCs/>
          <w:color w:val="1F3864"/>
          <w:sz w:val="21"/>
          <w:szCs w:val="21"/>
        </w:rPr>
        <w:t xml:space="preserve">Application Security Life Cycle (ASLC)</w:t>
      </w:r>
    </w:p>
    <w:p>
      <w:pPr>
        <w:spacing w:after="120" w:line="276"/>
      </w:pPr>
      <w:r>
        <w:t xml:space="preserve">The following gaps were observed, which were in violation of para 3 of Annex-III of the Comprehensive (Graded) Framework dated December 31, 2019:</w:t>
      </w:r>
    </w:p>
    <w:p>
      <w:pPr>
        <w:pStyle w:val="ListParagraph"/>
        <w:numPr>
          <w:ilvl w:val="0"/>
          <w:numId w:val="2"/>
        </w:numPr>
        <w:tabs>
          <w:tab w:val="right" w:pos="8926"/>
        </w:tabs>
        <w:spacing w:after="90" w:line="268"/>
      </w:pPr>
      <w:r>
        <w:t xml:space="preserve">Vulnerabilities identified in the source-code review were not closed within the defined timelines and were open as on the date of examination.</w:t>
      </w:r>
      <w:r>
        <w:rPr>
          <w:b/>
          <w:bCs/>
        </w:rPr>
        <w:t xml:space="preserve">	(Action)</w:t>
      </w:r>
    </w:p>
    <w:p>
      <w:pPr>
        <w:pStyle w:val="ListParagraph"/>
        <w:numPr>
          <w:ilvl w:val="0"/>
          <w:numId w:val="2"/>
        </w:numPr>
        <w:tabs>
          <w:tab w:val="right" w:pos="8926"/>
        </w:tabs>
        <w:spacing w:after="90" w:line="268"/>
      </w:pPr>
      <w:r>
        <w:t xml:space="preserve">PII such as PAN and mobile number was not masked in the databases of Internet Banking, Mobile Banking and the CBS.</w:t>
      </w:r>
      <w:r>
        <w:rPr>
          <w:b/>
          <w:bCs/>
        </w:rPr>
        <w:t xml:space="preserve">	(Action)</w:t>
      </w:r>
    </w:p>
    <w:p>
      <w:pPr>
        <w:pStyle w:val="Heading2"/>
        <w:shd w:fill="DCE6F1" w:val="clear"/>
        <w:spacing w:after="100" w:before="180"/>
      </w:pPr>
      <w:r>
        <w:rPr>
          <w:b/>
          <w:bCs/>
          <w:color w:val="1F3864"/>
          <w:sz w:val="21"/>
          <w:szCs w:val="21"/>
        </w:rPr>
        <w:t xml:space="preserve">Patch, Vulnerability and Change Management</w:t>
      </w:r>
    </w:p>
    <w:p>
      <w:pPr>
        <w:pStyle w:val="ListParagraph"/>
        <w:numPr>
          <w:ilvl w:val="0"/>
          <w:numId w:val="2"/>
        </w:numPr>
        <w:tabs>
          <w:tab w:val="right" w:pos="8926"/>
        </w:tabs>
        <w:spacing w:after="90" w:line="268"/>
      </w:pPr>
      <w:r>
        <w:t xml:space="preserve">Third-party application software and middleware were not tracked under patch management and a centralized change-management function was not established.</w:t>
      </w:r>
      <w:r>
        <w:rPr>
          <w:b/>
          <w:bCs/>
        </w:rPr>
        <w:t xml:space="preserve">	(Action)</w:t>
      </w:r>
    </w:p>
    <w:p>
      <w:pPr>
        <w:pStyle w:val="Heading2"/>
        <w:shd w:fill="DCE6F1" w:val="clear"/>
        <w:spacing w:after="100" w:before="180"/>
      </w:pPr>
      <w:r>
        <w:rPr>
          <w:b/>
          <w:bCs/>
          <w:color w:val="1F3864"/>
          <w:sz w:val="21"/>
          <w:szCs w:val="21"/>
        </w:rPr>
        <w:t xml:space="preserve">User Access Control / Management</w:t>
      </w:r>
    </w:p>
    <w:p>
      <w:pPr>
        <w:pStyle w:val="ListParagraph"/>
        <w:numPr>
          <w:ilvl w:val="0"/>
          <w:numId w:val="2"/>
        </w:numPr>
        <w:tabs>
          <w:tab w:val="right" w:pos="8926"/>
        </w:tabs>
        <w:spacing w:after="90" w:line="268"/>
      </w:pPr>
      <w:r>
        <w:t xml:space="preserve">Access-control matrices for network / security devices were not maintained, periodic access review was not performed, and the email-gateway / DLP solutions were not integrated with the PAM solution with MFA for administrators.</w:t>
      </w:r>
      <w:r>
        <w:rPr>
          <w:b/>
          <w:bCs/>
        </w:rPr>
        <w:t xml:space="preserve">	(Action)</w:t>
      </w:r>
    </w:p>
    <w:p>
      <w:pPr>
        <w:pStyle w:val="Heading2"/>
        <w:shd w:fill="DCE6F1" w:val="clear"/>
        <w:spacing w:after="100" w:before="180"/>
      </w:pPr>
      <w:r>
        <w:rPr>
          <w:b/>
          <w:bCs/>
          <w:color w:val="1F3864"/>
          <w:sz w:val="21"/>
          <w:szCs w:val="21"/>
        </w:rPr>
        <w:t xml:space="preserve">Vendor Risk Management</w:t>
      </w:r>
    </w:p>
    <w:p>
      <w:pPr>
        <w:spacing w:after="120" w:line="276"/>
      </w:pPr>
      <w:r>
        <w:t xml:space="preserve">The following gaps were observed, which were in violation of the Master Direction on Outsourcing of IT Services dated April 10, 2023 and the vendor-management provisions of the Graded Framework:</w:t>
      </w:r>
    </w:p>
    <w:p>
      <w:pPr>
        <w:pStyle w:val="ListParagraph"/>
        <w:numPr>
          <w:ilvl w:val="0"/>
          <w:numId w:val="2"/>
        </w:numPr>
        <w:tabs>
          <w:tab w:val="right" w:pos="8926"/>
        </w:tabs>
        <w:spacing w:after="90" w:line="268"/>
      </w:pPr>
      <w:r>
        <w:t xml:space="preserve">NDA / SLA were not signed for several IT service providers, and source-code escrow / a documented exit plan for the CBS vendor was not in place.</w:t>
      </w:r>
      <w:r>
        <w:rPr>
          <w:b/>
          <w:bCs/>
        </w:rPr>
        <w:t xml:space="preserve">	(Action)</w:t>
      </w:r>
    </w:p>
    <w:p>
      <w:pPr>
        <w:pStyle w:val="Heading2"/>
        <w:shd w:fill="DCE6F1" w:val="clear"/>
        <w:spacing w:after="100" w:before="180"/>
      </w:pPr>
      <w:r>
        <w:rPr>
          <w:b/>
          <w:bCs/>
          <w:color w:val="1F3864"/>
          <w:sz w:val="21"/>
          <w:szCs w:val="21"/>
        </w:rPr>
        <w:t xml:space="preserve">Cyber Security Operation Centre (C-SOC) / Advanced Threat Defence</w:t>
      </w:r>
    </w:p>
    <w:p>
      <w:pPr>
        <w:spacing w:after="120" w:line="276"/>
      </w:pPr>
      <w:r>
        <w:t xml:space="preserve">The following gaps were observed, which were in violation of para 5 of Annex-III and Annex-IV of the Comprehensive (Graded) Framework dated December 31, 2019:</w:t>
      </w:r>
    </w:p>
    <w:p>
      <w:pPr>
        <w:pStyle w:val="ListParagraph"/>
        <w:numPr>
          <w:ilvl w:val="0"/>
          <w:numId w:val="2"/>
        </w:numPr>
        <w:tabs>
          <w:tab w:val="right" w:pos="8926"/>
        </w:tabs>
        <w:spacing w:after="90" w:line="268"/>
      </w:pPr>
      <w:r>
        <w:t xml:space="preserve">The C-SOC was not fully operational with 24x7 monitoring and defined use-cases; TAT for incident / alert closure was not defined and a large number of XDR alerts remained open.</w:t>
      </w:r>
      <w:r>
        <w:rPr>
          <w:b/>
          <w:bCs/>
        </w:rPr>
        <w:t xml:space="preserve">	(Action)</w:t>
      </w:r>
    </w:p>
    <w:p>
      <w:pPr>
        <w:pStyle w:val="ListParagraph"/>
        <w:numPr>
          <w:ilvl w:val="0"/>
          <w:numId w:val="2"/>
        </w:numPr>
        <w:tabs>
          <w:tab w:val="right" w:pos="8926"/>
        </w:tabs>
        <w:spacing w:after="90" w:line="268"/>
      </w:pPr>
      <w:r>
        <w:t xml:space="preserve">Critical applications and CBS privileged-user logs were not fully integrated with the SIEM solution.</w:t>
      </w:r>
      <w:r>
        <w:rPr>
          <w:b/>
          <w:bCs/>
        </w:rPr>
        <w:t xml:space="preserve">	(Action)</w:t>
      </w:r>
    </w:p>
    <w:p>
      <w:pPr>
        <w:pStyle w:val="Heading2"/>
        <w:shd w:fill="DCE6F1" w:val="clear"/>
        <w:spacing w:after="100" w:before="180"/>
      </w:pPr>
      <w:r>
        <w:rPr>
          <w:b/>
          <w:bCs/>
          <w:color w:val="1F3864"/>
          <w:sz w:val="21"/>
          <w:szCs w:val="21"/>
        </w:rPr>
        <w:t xml:space="preserve">Fraud Risk Management (FRM)</w:t>
      </w:r>
    </w:p>
    <w:p>
      <w:pPr>
        <w:spacing w:after="120" w:line="276"/>
      </w:pPr>
      <w:r>
        <w:t xml:space="preserve">The following gaps were observed, which were in violation of para 9.1 of Annex-III of the Comprehensive (Graded) Framework dated December 31, 2019:</w:t>
      </w:r>
    </w:p>
    <w:p>
      <w:pPr>
        <w:pStyle w:val="ListParagraph"/>
        <w:numPr>
          <w:ilvl w:val="0"/>
          <w:numId w:val="2"/>
        </w:numPr>
        <w:tabs>
          <w:tab w:val="right" w:pos="8926"/>
        </w:tabs>
        <w:spacing w:after="90" w:line="268"/>
      </w:pPr>
      <w:r>
        <w:t xml:space="preserve">RBTM alerts for certain channels (RTGS / NEFT, Internet / Mobile Banking) were not integrated and ATM-channel alerts were monitored at T-1 rather than in real time.</w:t>
      </w:r>
      <w:r>
        <w:rPr>
          <w:b/>
          <w:bCs/>
        </w:rPr>
        <w:t xml:space="preserve">	(Action)</w:t>
      </w:r>
    </w:p>
    <w:p>
      <w:pPr>
        <w:pStyle w:val="ListParagraph"/>
        <w:numPr>
          <w:ilvl w:val="0"/>
          <w:numId w:val="2"/>
        </w:numPr>
        <w:tabs>
          <w:tab w:val="right" w:pos="8926"/>
        </w:tabs>
        <w:spacing w:after="90" w:line="268"/>
      </w:pPr>
      <w:r>
        <w:t xml:space="preserve">24x7 monitoring of FRM alerts was not enabled; alerts generated during off-business hours were left unattended till the next working day.</w:t>
      </w:r>
      <w:r>
        <w:rPr>
          <w:b/>
          <w:bCs/>
        </w:rPr>
        <w:t xml:space="preserve">	(Action)</w:t>
      </w:r>
    </w:p>
    <w:p>
      <w:pPr>
        <w:pStyle w:val="Heading2"/>
        <w:shd w:fill="DCE6F1" w:val="clear"/>
        <w:spacing w:after="100" w:before="180"/>
      </w:pPr>
      <w:r>
        <w:rPr>
          <w:b/>
          <w:bCs/>
          <w:color w:val="1F3864"/>
          <w:sz w:val="21"/>
          <w:szCs w:val="21"/>
        </w:rPr>
        <w:t xml:space="preserve">Business Continuity and Disaster Recovery</w:t>
      </w:r>
    </w:p>
    <w:p>
      <w:pPr>
        <w:pStyle w:val="ListParagraph"/>
        <w:numPr>
          <w:ilvl w:val="0"/>
          <w:numId w:val="2"/>
        </w:numPr>
        <w:tabs>
          <w:tab w:val="right" w:pos="8926"/>
        </w:tabs>
        <w:spacing w:after="90" w:line="268"/>
      </w:pPr>
      <w:r>
        <w:t xml:space="preserve">DR drills were conducted but recovery objectives (RTO / RPO) were not formally validated and signed off.</w:t>
      </w:r>
      <w:r>
        <w:rPr>
          <w:b/>
          <w:bCs/>
        </w:rPr>
        <w:t xml:space="preserve">	(Action)</w:t>
      </w:r>
    </w:p>
    <w:p>
      <w:r>
        <w:br w:type="page"/>
      </w:r>
    </w:p>
    <w:p>
      <w:pPr>
        <w:pStyle w:val="Heading1"/>
        <w:shd w:fill="1F3864" w:val="clear"/>
        <w:spacing w:after="160" w:before="240"/>
      </w:pPr>
      <w:r>
        <w:rPr>
          <w:b/>
          <w:bCs/>
          <w:color w:val="FFFFFF"/>
          <w:sz w:val="24"/>
          <w:szCs w:val="24"/>
        </w:rPr>
        <w:t xml:space="preserve">Section 4 — Number of Action Points</w:t>
      </w:r>
    </w:p>
    <w:p>
      <w:pPr>
        <w:spacing w:after="120" w:line="276"/>
      </w:pPr>
      <w:r>
        <w:rPr>
          <w:b/>
          <w:bCs/>
        </w:rPr>
        <w:t xml:space="preserve">Number of Total Action Points: </w:t>
      </w:r>
      <w:r>
        <w:rPr>
          <w:b/>
          <w:bCs/>
        </w:rPr>
        <w:t xml:space="preserve">35</w:t>
      </w:r>
    </w:p>
    <w:p>
      <w:pPr>
        <w:pStyle w:val="ListParagraph"/>
        <w:numPr>
          <w:ilvl w:val="0"/>
          <w:numId w:val="2"/>
        </w:numPr>
        <w:spacing w:after="90" w:line="268"/>
      </w:pPr>
      <w:r>
        <w:rPr>
          <w:b/>
          <w:bCs/>
        </w:rPr>
        <w:t xml:space="preserve">Section 3 Observations: </w:t>
      </w:r>
      <w:r>
        <w:t xml:space="preserve">19 Action Points</w:t>
      </w:r>
    </w:p>
    <w:p>
      <w:pPr>
        <w:pStyle w:val="ListParagraph"/>
        <w:numPr>
          <w:ilvl w:val="0"/>
          <w:numId w:val="2"/>
        </w:numPr>
        <w:spacing w:after="90" w:line="268"/>
      </w:pPr>
      <w:r>
        <w:rPr>
          <w:b/>
          <w:bCs/>
        </w:rPr>
        <w:t xml:space="preserve">Annex I — Non-complied previous ITE observations: </w:t>
      </w:r>
      <w:r>
        <w:t xml:space="preserve">5 Action Points</w:t>
      </w:r>
    </w:p>
    <w:p>
      <w:pPr>
        <w:pStyle w:val="ListParagraph"/>
        <w:numPr>
          <w:ilvl w:val="0"/>
          <w:numId w:val="2"/>
        </w:numPr>
        <w:spacing w:after="90" w:line="268"/>
      </w:pPr>
      <w:r>
        <w:rPr>
          <w:b/>
          <w:bCs/>
        </w:rPr>
        <w:t xml:space="preserve">Annex II — Non-compliance to Advisories and Alerts: </w:t>
      </w:r>
      <w:r>
        <w:t xml:space="preserve">7 Action Points</w:t>
      </w:r>
    </w:p>
    <w:p>
      <w:pPr>
        <w:pStyle w:val="ListParagraph"/>
        <w:numPr>
          <w:ilvl w:val="0"/>
          <w:numId w:val="2"/>
        </w:numPr>
        <w:spacing w:after="90" w:line="268"/>
      </w:pPr>
      <w:r>
        <w:rPr>
          <w:b/>
          <w:bCs/>
        </w:rPr>
        <w:t xml:space="preserve">Annex III — Non-compliance to DPSC Circular: </w:t>
      </w:r>
      <w:r>
        <w:t xml:space="preserve">4 Action Points</w:t>
      </w:r>
    </w:p>
    <w:p>
      <w:r>
        <w:br w:type="page"/>
      </w:r>
    </w:p>
    <w:p>
      <w:pPr>
        <w:pStyle w:val="Heading1"/>
        <w:shd w:fill="1F3864" w:val="clear"/>
        <w:spacing w:after="160" w:before="240"/>
      </w:pPr>
      <w:r>
        <w:rPr>
          <w:b/>
          <w:bCs/>
          <w:color w:val="FFFFFF"/>
          <w:sz w:val="24"/>
          <w:szCs w:val="24"/>
        </w:rPr>
        <w:t xml:space="preserve">Section 5 — Other Observations (Non-actionable)</w:t>
      </w:r>
    </w:p>
    <w:p>
      <w:pPr>
        <w:pStyle w:val="ListParagraph"/>
        <w:numPr>
          <w:ilvl w:val="0"/>
          <w:numId w:val="2"/>
        </w:numPr>
        <w:spacing w:after="90" w:line="268"/>
      </w:pPr>
      <w:r>
        <w:t xml:space="preserve">Certain branch routers and security solutions were not integrated with the SIEM solution.</w:t>
      </w:r>
    </w:p>
    <w:p>
      <w:pPr>
        <w:pStyle w:val="ListParagraph"/>
        <w:numPr>
          <w:ilvl w:val="0"/>
          <w:numId w:val="2"/>
        </w:numPr>
        <w:spacing w:after="90" w:line="268"/>
      </w:pPr>
      <w:r>
        <w:t xml:space="preserve">Closure timelines for SOC incidents were not defined; several tickets were open for an extended period.</w:t>
      </w:r>
    </w:p>
    <w:p>
      <w:pPr>
        <w:pStyle w:val="ListParagraph"/>
        <w:numPr>
          <w:ilvl w:val="0"/>
          <w:numId w:val="2"/>
        </w:numPr>
        <w:spacing w:after="90" w:line="268"/>
      </w:pPr>
      <w:r>
        <w:t xml:space="preserve">Reconciliation of certain financial / non-financial messages was performed manually and can be automated with recorded sign-offs.</w:t>
      </w:r>
    </w:p>
    <w:p>
      <w:r>
        <w:br w:type="page"/>
      </w:r>
    </w:p>
    <w:p>
      <w:pPr>
        <w:pStyle w:val="Heading1"/>
        <w:shd w:fill="1F3864" w:val="clear"/>
        <w:spacing w:after="160" w:before="240"/>
      </w:pPr>
      <w:r>
        <w:rPr>
          <w:b/>
          <w:bCs/>
          <w:color w:val="FFFFFF"/>
          <w:sz w:val="24"/>
          <w:szCs w:val="24"/>
        </w:rPr>
        <w:t xml:space="preserve">Annex I — Non-complied / Partially-complied Previous ITE Observations</w:t>
      </w:r>
    </w:p>
    <w:p>
      <w:pPr>
        <w:spacing w:after="120"/>
      </w:pPr>
      <w:r>
        <w:t xml:space="preserve">Details of ‘Not / Partially Complied’ observations from previous IT Examinations are listed below.</w:t>
      </w:r>
      <w:r>
        <w:rPr>
          <w:b/>
          <w:bCs/>
        </w:rPr>
        <w:t xml:space="preserve">	(Action)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1900"/>
        <w:gridCol w:w="1500"/>
        <w:gridCol w:w="760"/>
        <w:gridCol w:w="3046"/>
        <w:gridCol w:w="1200"/>
      </w:tblGrid>
      <w:tr>
        <w:trPr>
          <w:tblHeader/>
        </w:trPr>
        <w:tc>
          <w:tcPr>
            <w:tcW w:type="dxa" w:w="62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Sr.No</w:t>
            </w:r>
          </w:p>
        </w:tc>
        <w:tc>
          <w:tcPr>
            <w:tcW w:type="dxa" w:w="19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Audit</w:t>
            </w:r>
          </w:p>
        </w:tc>
        <w:tc>
          <w:tcPr>
            <w:tcW w:type="dxa" w:w="15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Area</w:t>
            </w:r>
          </w:p>
        </w:tc>
        <w:tc>
          <w:tcPr>
            <w:tcW w:type="dxa" w:w="76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Para</w:t>
            </w:r>
          </w:p>
        </w:tc>
        <w:tc>
          <w:tcPr>
            <w:tcW w:type="dxa" w:w="304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Observation</w:t>
            </w:r>
          </w:p>
        </w:tc>
        <w:tc>
          <w:tcPr>
            <w:tcW w:type="dxa" w:w="12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Remarks</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RBI CSITE ITE 2021</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BCP/DR</w:t>
            </w:r>
          </w:p>
        </w:tc>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1</w:t>
            </w:r>
          </w:p>
        </w:tc>
        <w:tc>
          <w:tcPr>
            <w:tcW w:type="dxa" w:w="304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DR drill for critical security tools (VPN, SOC, PIM) not performed annually.</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Not Complied</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RBI CSITE ITE 2021</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Preventing unauthorized software</w:t>
            </w:r>
          </w:p>
        </w:tc>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7</w:t>
            </w:r>
          </w:p>
        </w:tc>
        <w:tc>
          <w:tcPr>
            <w:tcW w:type="dxa" w:w="304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Endpoints not integrated with whitelisting solution.</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Partially Complied</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RBI CSITE ITE 2021</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C-SOC</w:t>
            </w:r>
          </w:p>
        </w:tc>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50</w:t>
            </w:r>
          </w:p>
        </w:tc>
        <w:tc>
          <w:tcPr>
            <w:tcW w:type="dxa" w:w="304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Critical applications not integrated with SIEM.</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Not Complied</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RBI CSITE ITE 2021</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Risk-based txn monitoring</w:t>
            </w:r>
          </w:p>
        </w:tc>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62</w:t>
            </w:r>
          </w:p>
        </w:tc>
        <w:tc>
          <w:tcPr>
            <w:tcW w:type="dxa" w:w="304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Enterprise FRM not implemented across all channels.</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Not Complied</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5</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RBI CSITE ITE 2018</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Secure Configuration</w:t>
            </w:r>
          </w:p>
        </w:tc>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67.26</w:t>
            </w:r>
          </w:p>
        </w:tc>
        <w:tc>
          <w:tcPr>
            <w:tcW w:type="dxa" w:w="304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No periodic secure-configuration review on routers.</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Partially Complied</w:t>
            </w:r>
          </w:p>
        </w:tc>
      </w:tr>
    </w:tbl>
    <w:p>
      <w:r>
        <w:br w:type="page"/>
      </w:r>
    </w:p>
    <w:p>
      <w:pPr>
        <w:pStyle w:val="Heading1"/>
        <w:shd w:fill="1F3864" w:val="clear"/>
        <w:spacing w:after="160" w:before="240"/>
      </w:pPr>
      <w:r>
        <w:rPr>
          <w:b/>
          <w:bCs/>
          <w:color w:val="FFFFFF"/>
          <w:sz w:val="24"/>
          <w:szCs w:val="24"/>
        </w:rPr>
        <w:t xml:space="preserve">Annex II — Non-compliance to Advisories and Alerts</w:t>
      </w:r>
    </w:p>
    <w:p>
      <w:pPr>
        <w:spacing w:after="120"/>
      </w:pPr>
      <w:r>
        <w:t xml:space="preserve">Details of advisories and alerts which were not / partially complied are listed below.</w:t>
      </w:r>
      <w:r>
        <w:rPr>
          <w:b/>
          <w:bCs/>
        </w:rPr>
        <w:t xml:space="preserve">	(Action)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1300"/>
        <w:gridCol w:w="2300"/>
        <w:gridCol w:w="3506"/>
        <w:gridCol w:w="1300"/>
      </w:tblGrid>
      <w:tr>
        <w:trPr>
          <w:tblHeader/>
        </w:trPr>
        <w:tc>
          <w:tcPr>
            <w:tcW w:type="dxa" w:w="62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Sr.No</w:t>
            </w:r>
          </w:p>
        </w:tc>
        <w:tc>
          <w:tcPr>
            <w:tcW w:type="dxa" w:w="13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Issued Date</w:t>
            </w:r>
          </w:p>
        </w:tc>
        <w:tc>
          <w:tcPr>
            <w:tcW w:type="dxa" w:w="23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Advisory / Circular</w:t>
            </w:r>
          </w:p>
        </w:tc>
        <w:tc>
          <w:tcPr>
            <w:tcW w:type="dxa" w:w="350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Subject</w:t>
            </w:r>
          </w:p>
        </w:tc>
        <w:tc>
          <w:tcPr>
            <w:tcW w:type="dxa" w:w="13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Status</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28-Aug-23</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Advisory 1/2023</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Securing the ecosystem connecting the bank's ATM switch to Card Networks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Not complied</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13-Oct-23</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Advisory 7/2023</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Un-authorized fraudulent transactions through Retail Internet Banking application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Not complied</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22-Nov-23</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Advisory 8/2023</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Additional Layer of Security for Internet Banking and Public Facing Websites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Partially Complied</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08-Jul-24</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Alert 5/2024</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Malicious Actors gaining access to IT infrastructure of Payment Service Providers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Not complied</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29-Jun-24</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Advisory 9/2024</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Ransomware incident — preventive controls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Partially Complied</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28-Nov-23</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Alert 14/2023</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Malicious Android Applications distributed via SMS / Email (social engineering)</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Partially Complied</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19-Dec-24</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Alert 10/2024</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Heightened caution during weekends / extended weekends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Partially Complied</w:t>
            </w:r>
          </w:p>
        </w:tc>
      </w:tr>
    </w:tbl>
    <w:p>
      <w:r>
        <w:br w:type="page"/>
      </w:r>
    </w:p>
    <w:p>
      <w:pPr>
        <w:pStyle w:val="Heading1"/>
        <w:shd w:fill="1F3864" w:val="clear"/>
        <w:spacing w:after="160" w:before="240"/>
      </w:pPr>
      <w:r>
        <w:rPr>
          <w:b/>
          <w:bCs/>
          <w:color w:val="FFFFFF"/>
          <w:sz w:val="24"/>
          <w:szCs w:val="24"/>
        </w:rPr>
        <w:t xml:space="preserve">Annex III — Non-compliance to DPSC Circular</w:t>
      </w:r>
    </w:p>
    <w:p>
      <w:pPr>
        <w:spacing w:after="120"/>
      </w:pPr>
      <w:r>
        <w:t xml:space="preserve">Details of non / partially complied paras of the Master Direction on Digital Payment Security Controls are listed below.</w:t>
      </w:r>
      <w:r>
        <w:rPr>
          <w:b/>
          <w:bCs/>
        </w:rPr>
        <w:t xml:space="preserve">	(Action)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1300"/>
        <w:gridCol w:w="5806"/>
        <w:gridCol w:w="1300"/>
      </w:tblGrid>
      <w:tr>
        <w:trPr>
          <w:tblHeader/>
        </w:trPr>
        <w:tc>
          <w:tcPr>
            <w:tcW w:type="dxa" w:w="62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Sr.No</w:t>
            </w:r>
          </w:p>
        </w:tc>
        <w:tc>
          <w:tcPr>
            <w:tcW w:type="dxa" w:w="13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Para / Section</w:t>
            </w:r>
          </w:p>
        </w:tc>
        <w:tc>
          <w:tcPr>
            <w:tcW w:type="dxa" w:w="580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Requirement</w:t>
            </w:r>
          </w:p>
        </w:tc>
        <w:tc>
          <w:tcPr>
            <w:tcW w:type="dxa" w:w="13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Status</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4</w:t>
            </w:r>
          </w:p>
        </w:tc>
        <w:tc>
          <w:tcPr>
            <w:tcW w:type="dxa" w:w="58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Board-approved policy for digital payment products covering Functionality, Security and Performance (FSP) aspects; periodic (at least yearly) review.</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Not Complied</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23</w:t>
            </w:r>
          </w:p>
        </w:tc>
        <w:tc>
          <w:tcPr>
            <w:tcW w:type="dxa" w:w="58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Source-code escrow arrangement for digital payment applications licensed from third-party vendors to ensure service continuity.</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Not Complied</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26</w:t>
            </w:r>
          </w:p>
        </w:tc>
        <w:tc>
          <w:tcPr>
            <w:tcW w:type="dxa" w:w="58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Process to compare results of successive VA scans to confirm non-recurrence of known vulnerabilities.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Not Complied</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51</w:t>
            </w:r>
          </w:p>
        </w:tc>
        <w:tc>
          <w:tcPr>
            <w:tcW w:type="dxa" w:w="58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Additional authentication and anti-automation (e.g., CAPTCHA) controls on internet banking login.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Partially Complied</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2"/>
      </w:pBdr>
      <w:jc w:val="center"/>
    </w:pPr>
    <w:r>
      <w:rPr>
        <w:color w:val="595959"/>
        <w:sz w:val="14"/>
        <w:szCs w:val="14"/>
      </w:rPr>
      <w:t xml:space="preserve">RBI — Department of Supervision — CSITEG  ·  Page </w:t>
    </w:r>
    <w:r>
      <w:rPr>
        <w:color w:val="595959"/>
        <w:sz w:val="14"/>
        <w:szCs w:val="14"/>
      </w:rPr>
      <w:fldChar w:fldCharType="begin"/>
      <w:instrText xml:space="preserve">PAGE</w:instrText>
      <w:fldChar w:fldCharType="separate"/>
      <w:fldChar w:fldCharType="end"/>
    </w:r>
    <w:r>
      <w:rPr>
        <w:color w:val="595959"/>
        <w:sz w:val="14"/>
        <w:szCs w:val="14"/>
      </w:rPr>
      <w:t xml:space="preserve"> of </w:t>
    </w:r>
    <w:r>
      <w:rPr>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jc w:val="right"/>
    </w:pPr>
    <w:r>
      <w:rPr>
        <w:color w:val="595959"/>
        <w:sz w:val="14"/>
        <w:szCs w:val="14"/>
      </w:rPr>
      <w:t xml:space="preserve">CONFIDENTIAL (Fictional)  |  PCBL  |  Draft Report on IT Examination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lvl w:ilvl="1" w15:tentative="1">
      <w:start w:val="1"/>
      <w:numFmt w:val="bullet"/>
      <w:lvlText w:val="◦"/>
      <w:lvlJc w:val="left"/>
      <w:pPr>
        <w:ind w:left="9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FFFFFF"/>
      <w:sz w:val="24"/>
      <w:szCs w:val="24"/>
    </w:rPr>
  </w:style>
  <w:style w:type="paragraph" w:styleId="Heading2">
    <w:name w:val="Heading 2"/>
    <w:basedOn w:val="Normal"/>
    <w:next w:val="Normal"/>
    <w:qFormat/>
    <w:pPr>
      <w:spacing w:after="100" w:before="180"/>
      <w:outlineLvl w:val="1"/>
    </w:pPr>
    <w:rPr>
      <w:rFonts w:ascii="Arial" w:cs="Arial" w:eastAsia="Arial" w:hAnsi="Arial"/>
      <w:b/>
      <w:bCs/>
      <w:color w:val="1F386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Examination Report — Pragati Co-operative Bank Limited</dc:title>
  <dc:creator>RBI CSITEG (fictional sample)</dc:creator>
  <cp:lastModifiedBy>Un-named</cp:lastModifiedBy>
  <cp:revision>1</cp:revision>
  <dcterms:created xsi:type="dcterms:W3CDTF">2026-06-16T03:00:57.073Z</dcterms:created>
  <dcterms:modified xsi:type="dcterms:W3CDTF">2026-06-16T03:00:57.073Z</dcterms:modified>
</cp:coreProperties>
</file>

<file path=docProps/custom.xml><?xml version="1.0" encoding="utf-8"?>
<Properties xmlns="http://schemas.openxmlformats.org/officeDocument/2006/custom-properties" xmlns:vt="http://schemas.openxmlformats.org/officeDocument/2006/docPropsVTypes"/>
</file>