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Board IT/cyber expertise gap analysis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Board had limited IT / cyber expertise and the CISO, though designated, also held operational IT responsibilities, diluting independence.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