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Board-approved CBS migration SOP with reconciliation checks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No Board-approved SOP / policy was in place for the CBS migration carried out during the period; a post-migration audit identified discrepancies in balances and funds parked in multiple migration GL heads, which were not reconciled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