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Post-migration audit report with balance discrepancies and migration GL heads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No Board-approved SOP / policy was in place for the CBS migration carried out during the period; a post-migration audit identified discrepancies in balances and funds parked in multiple migration GL heads, which were not reconciled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