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CBS migration reconciliation status as on examination date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No Board-approved SOP / policy was in place for the CBS migration carried out during the period; a post-migration audit identified discrepancies in balances and funds parked in multiple migration GL heads, which were not reconciled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