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CBS migration plan template with reconciliation checkpoints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No Board-approved SOP / policy was in place for the CBS migration carried out during the period; a post-migration audit identified discrepancies in balances and funds parked in multiple migration GL heads, which were not reconciled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