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DPSC Master Direction gap analysis with remediation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3.1.3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3.1.3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Digital Payment Security Controls Policy did not articulate the digital payment cycle and exception handling per product, which was non-adherence to para 4 of Chapter II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3.1.3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