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Root cause analysis template for recurring observations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Five observations including a High-risk observation (database security) from the previous IS audit were open as on the date of examination.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