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EOL/EOS system replacement policy with upgrade timelines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following End-of-Life / End-of-Support systems were active in the environment without an upgrade / replacement plan: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