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Business justification template for ANY/insecure rules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Perimeter firewalls were running with outdated firmware and multiple firewall rules with destination ‘ANY’ / insecure ports were configured without justification.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