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SCD implementation gap analysis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Secure Configuration Documents were not defined for several network devices, security solutions and middleware, and periodic configuration review was not performed against the defined periodicity.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