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DI_PCBL_3_6_1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Source code audit remediation gap analysis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3.6.1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3.6.1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Vulnerabilities identified in the source-code review were not closed within the defined timelines and were open as on the date of examination.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3.6.1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