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PII exposure gap analysis with remediation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PII such as PAN and mobile number was not masked in the databases of Internet Banking, Mobile Banking and the CBS.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