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Third-party software and middleware patch management policy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Third-party application software and middleware were not tracked under patch management and a centralized change-management function was not established.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