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DI_PCBL_3_7_1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Centralized change management function evidence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3.7.1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3.7.1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Third-party application software and middleware were not tracked under patch management and a centralized change-management function was not established.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3.7.1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