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Third-party software patch compliance report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Third-party application software and middleware were not tracked under patch management and a centralized change-management function was not established.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