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centralized change management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Third-party application software and middleware were not tracked under patch management and a centralized change-management function was not established.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