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RBTM/FRM alert integration policy for all channels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RBTM alerts for certain channels (RTGS / NEFT, Internet / Mobile Banking) were not integrated and ATM-channel alerts were monitored at T-1 rather than in real time.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