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RBTM integration gap analysis with remediation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RBTM alerts for certain channels (RTGS / NEFT, Internet / Mobile Banking) were not integrated and ATM-channel alerts were monitored at T-1 rather than in real time.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