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" w:after="20"/>
      </w:pPr>
      <w:r>
        <w:rPr>
          <w:sz w:val="20"/>
        </w:rPr>
        <w:t>﻿# Pragati Co-operative Bank Limited</w:t>
      </w:r>
    </w:p>
    <w:p>
      <w:pPr>
        <w:spacing w:before="200" w:after="80"/>
      </w:pPr>
      <w:r>
        <w:rPr>
          <w:b/>
          <w:color w:val="2C5F8A"/>
          <w:sz w:val="32"/>
        </w:rPr>
        <w:t>Document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Document Number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DI_PCBL_3_11_2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Version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Effective Date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18-06-2026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Classification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Confidential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Department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Information Technology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Prepared By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Governance Team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Approved By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Board of Directors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1. Purpose</w:t>
      </w:r>
    </w:p>
    <w:p>
      <w:pPr>
        <w:spacing w:before="20" w:after="20"/>
      </w:pPr>
      <w:r>
        <w:rPr>
          <w:sz w:val="20"/>
        </w:rPr>
        <w:t xml:space="preserve">This document provides a comprehensive framework for FRM 24x7 monitoring gap assessment at </w:t>
      </w:r>
      <w:r>
        <w:rPr>
          <w:b/>
          <w:sz w:val="20"/>
        </w:rPr>
        <w:t>Pragati Co-operative Bank Limited</w:t>
      </w:r>
      <w:r>
        <w:rPr>
          <w:sz w:val="20"/>
        </w:rPr>
        <w:t xml:space="preserve">. It establishes the controls, procedures, and oversight mechanisms to address the regulatory observation identified under </w:t>
      </w:r>
      <w:r>
        <w:rPr>
          <w:b/>
          <w:sz w:val="20"/>
        </w:rPr>
        <w:t>3.11.2</w:t>
      </w:r>
      <w:r>
        <w:rPr>
          <w:sz w:val="20"/>
        </w:rPr>
        <w:t>.</w:t>
      </w:r>
    </w:p>
    <w:p>
      <w:pPr>
        <w:spacing w:before="200" w:after="80"/>
      </w:pPr>
      <w:r>
        <w:rPr>
          <w:b/>
          <w:color w:val="2C5F8A"/>
          <w:sz w:val="32"/>
        </w:rPr>
        <w:t>2. Observation Reference</w:t>
      </w:r>
    </w:p>
    <w:p>
      <w:pPr>
        <w:spacing w:before="20" w:after="20"/>
      </w:pPr>
      <w:r>
        <w:rPr>
          <w:b/>
          <w:sz w:val="20"/>
        </w:rPr>
        <w:t>Observation ID:</w:t>
      </w:r>
      <w:r>
        <w:rPr>
          <w:sz w:val="20"/>
        </w:rPr>
        <w:t xml:space="preserve"> 3.11.2</w:t>
      </w:r>
    </w:p>
    <w:p>
      <w:pPr>
        <w:spacing w:before="20" w:after="20"/>
      </w:pPr>
      <w:r>
        <w:rPr>
          <w:b/>
          <w:sz w:val="20"/>
        </w:rPr>
        <w:t>Observation:</w:t>
      </w:r>
      <w:r>
        <w:rPr>
          <w:sz w:val="20"/>
        </w:rPr>
        <w:t xml:space="preserve"> 24x7 monitoring of FRM alerts was not enabled; alerts generated during off-business hours were left unattended till the next working day.</w:t>
      </w:r>
    </w:p>
    <w:p>
      <w:pPr>
        <w:spacing w:before="20" w:after="20"/>
      </w:pPr>
      <w:r>
        <w:rPr>
          <w:b/>
          <w:sz w:val="20"/>
        </w:rPr>
        <w:t>Bank:</w:t>
      </w:r>
      <w:r>
        <w:rPr>
          <w:sz w:val="20"/>
        </w:rPr>
        <w:t xml:space="preserve"> Pragati Co-operative Bank Limited</w:t>
      </w:r>
    </w:p>
    <w:p>
      <w:pPr>
        <w:spacing w:before="200" w:after="80"/>
      </w:pPr>
      <w:r>
        <w:rPr>
          <w:b/>
          <w:color w:val="2C5F8A"/>
          <w:sz w:val="32"/>
        </w:rPr>
        <w:t>3. Regulatory Compliance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IT Governance, Risk, Controls and Assurance Practices Directions, 2023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Digital Payment Security Controls (DPSC) Master Direction, 2021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Cyber Security Framework for Scheduled Commercial Banks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Pragati Co-operative Bank Limited Internal Policies</w:t>
      </w:r>
    </w:p>
    <w:p>
      <w:pPr>
        <w:spacing w:before="200" w:after="80"/>
      </w:pPr>
      <w:r>
        <w:rPr>
          <w:b/>
          <w:color w:val="2C5F8A"/>
          <w:sz w:val="32"/>
        </w:rPr>
        <w:t>4. Policy / Control Requirements</w:t>
      </w:r>
    </w:p>
    <w:p>
      <w:pPr>
        <w:spacing w:before="160" w:after="60"/>
      </w:pPr>
      <w:r>
        <w:rPr>
          <w:b/>
          <w:color w:val="3A7CA5"/>
          <w:sz w:val="26"/>
        </w:rPr>
        <w:t>4.1 Governance</w:t>
      </w:r>
    </w:p>
    <w:p>
      <w:pPr>
        <w:spacing w:before="20" w:after="20"/>
      </w:pPr>
      <w:r>
        <w:rPr>
          <w:sz w:val="20"/>
        </w:rPr>
        <w:t xml:space="preserve">The Board and IT Strategy Committee of </w:t>
      </w:r>
      <w:r>
        <w:rPr>
          <w:b/>
          <w:sz w:val="20"/>
        </w:rPr>
        <w:t>Pragati Co-operative Bank Limited</w:t>
      </w:r>
      <w:r>
        <w:rPr>
          <w:sz w:val="20"/>
        </w:rPr>
        <w:t xml:space="preserve"> shall provide strategic oversight. Compliance shall be monitored quarterly by the IT Steering Committee.</w:t>
      </w:r>
    </w:p>
    <w:p>
      <w:pPr>
        <w:spacing w:before="160" w:after="60"/>
      </w:pPr>
      <w:r>
        <w:rPr>
          <w:b/>
          <w:color w:val="3A7CA5"/>
          <w:sz w:val="26"/>
        </w:rPr>
        <w:t>4.2 Key Controls</w:t>
      </w:r>
    </w:p>
    <w:p>
      <w:pPr>
        <w:spacing w:before="20" w:after="20"/>
      </w:pPr>
      <w:r>
        <w:rPr>
          <w:sz w:val="20"/>
        </w:rPr>
        <w:t>1. Documented procedures shall be implemented and maintained</w:t>
      </w:r>
    </w:p>
    <w:p>
      <w:pPr>
        <w:spacing w:before="20" w:after="20"/>
      </w:pPr>
      <w:r>
        <w:rPr>
          <w:sz w:val="20"/>
        </w:rPr>
        <w:t>2. Evidence of compliance shall be preserved for regulatory inspection</w:t>
      </w:r>
    </w:p>
    <w:p>
      <w:pPr>
        <w:spacing w:before="20" w:after="20"/>
      </w:pPr>
      <w:r>
        <w:rPr>
          <w:sz w:val="20"/>
        </w:rPr>
        <w:t>3. Periodic reviews shall be conducted as per defined frequency</w:t>
      </w:r>
    </w:p>
    <w:p>
      <w:pPr>
        <w:spacing w:before="20" w:after="20"/>
      </w:pPr>
      <w:r>
        <w:rPr>
          <w:sz w:val="20"/>
        </w:rPr>
        <w:t>4. Deviations shall require approved exception from competent authority</w:t>
      </w:r>
    </w:p>
    <w:p>
      <w:pPr>
        <w:spacing w:before="20" w:after="20"/>
      </w:pPr>
      <w:r>
        <w:rPr>
          <w:sz w:val="20"/>
        </w:rPr>
        <w:t>5. Root-cause analysis shall be performed for recurring observations</w:t>
      </w:r>
    </w:p>
    <w:p>
      <w:pPr>
        <w:spacing w:before="160" w:after="60"/>
      </w:pPr>
      <w:r>
        <w:rPr>
          <w:b/>
          <w:color w:val="3A7CA5"/>
          <w:sz w:val="26"/>
        </w:rPr>
        <w:t>4.3 Roles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Responsibility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Board of Directors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Strategic oversight and policy approval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Strategy Committee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Governance review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CISO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Implementation and compliance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Internal Audit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Independent assurance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5. 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Date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Author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18-06-2026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Governance Team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Initial release for 3.11.2</w:t>
            </w:r>
          </w:p>
        </w:tc>
      </w:tr>
    </w:tbl>
    <w:p/>
    <w:p>
      <w:pPr>
        <w:spacing w:before="120" w:after="40"/>
      </w:pPr>
      <w:r>
        <w:rPr>
          <w:b/>
          <w:color w:val="4A90B0"/>
          <w:sz w:val="22"/>
        </w:rPr>
        <w:t>END OF DOCUMENT</w:t>
      </w:r>
    </w:p>
    <w:p>
      <w:pPr>
        <w:spacing w:before="20" w:after="20"/>
      </w:pPr>
      <w:r>
        <w:rPr>
          <w:b/>
          <w:sz w:val="20"/>
        </w:rPr>
        <w:t>Pragati Co-operative Bank Limited</w:t>
      </w:r>
      <w:r>
        <w:rPr>
          <w:sz w:val="20"/>
        </w:rPr>
        <w:t xml:space="preserve"> — Committed to Excellence in Banking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