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Navshakti Small Finance Bank Limited</w:t>
      </w:r>
    </w:p>
    <w:p>
      <w:pPr>
        <w:spacing w:after="200"/>
        <w:jc w:val="center"/>
      </w:pPr>
      <w:r>
        <w:rPr>
          <w:b w:val="false"/>
          <w:bCs w:val="false"/>
          <w:i/>
          <w:iCs/>
          <w:color w:val="595959"/>
          <w:sz w:val="20"/>
          <w:szCs w:val="20"/>
        </w:rPr>
        <w:t xml:space="preserve">Small Finance Bank</w:t>
      </w:r>
    </w:p>
    <w:p>
      <w:pPr>
        <w:spacing w:after="60"/>
        <w:jc w:val="center"/>
      </w:pPr>
      <w:r>
        <w:rPr>
          <w:b/>
          <w:bCs/>
          <w:color w:val="262626"/>
          <w:sz w:val="22"/>
          <w:szCs w:val="22"/>
        </w:rPr>
        <w:t xml:space="preserve">March 10 to 19, 2025</w:t>
      </w:r>
    </w:p>
    <w:p>
      <w:pPr>
        <w:spacing w:after="400"/>
        <w:jc w:val="center"/>
      </w:pPr>
      <w:r>
        <w:rPr>
          <w:b w:val="false"/>
          <w:bCs w:val="false"/>
          <w:color w:val="595959"/>
          <w:sz w:val="18"/>
          <w:szCs w:val="18"/>
        </w:rPr>
        <w:t xml:space="preserve">Examination reference: DoS.CO.CSITEG.ITE.SFB.0147/2024-25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Navshakti Small Finance Bank Limited (Small Finance Bank) was conducted March 10 to 19,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w:t>
      </w:r>
    </w:p>
    <w:p>
      <w:pPr>
        <w:pStyle w:val="ListParagraph"/>
        <w:numPr>
          <w:ilvl w:val="0"/>
          <w:numId w:val="2"/>
        </w:numPr>
        <w:spacing w:after="80" w:line="264"/>
      </w:pPr>
      <w:r>
        <w:t xml:space="preserve">RBI Circular DBS.CO/CSITE/BC.11/33.01.001/2015-16 on Cyber Security Framework in Banks dated June 2, 2016.</w:t>
      </w:r>
    </w:p>
    <w:p>
      <w:pPr>
        <w:pStyle w:val="ListParagraph"/>
        <w:numPr>
          <w:ilvl w:val="0"/>
          <w:numId w:val="2"/>
        </w:numPr>
        <w:spacing w:after="80" w:line="264"/>
      </w:pPr>
      <w:r>
        <w:t xml:space="preserve">RBI Master Direction DoS.CO.CSITE.SEC.No.1852/31.01.015/2020-21 on Digital Payment Security Controls dated February 18, 2021.</w:t>
      </w:r>
    </w:p>
    <w:p>
      <w:pPr>
        <w:pStyle w:val="ListParagraph"/>
        <w:numPr>
          <w:ilvl w:val="0"/>
          <w:numId w:val="2"/>
        </w:numPr>
        <w:spacing w:after="80" w:line="264"/>
      </w:pPr>
      <w:r>
        <w:t xml:space="preserve">Master Direction DoS.CO.CSITEG/SEC.1/31.01.015/2023-24 on Outsourcing of Information Technology Services dated April 10, 2023.</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bank's (cloud-hosted) primary and DR environments and a sample banking outlet.</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38,940.00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branches / banking outlets (incl. BC)</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1,090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 micro-enterprise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61,40,000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Internet / Mobile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8,20,000 / 22,80,000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UPI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27,60,000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Lending systems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Loan Origination (LOS) &amp; Loan Management (LMS) for MFI / MSME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CBS status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Migrated to cloud-hosted CBS during the review period</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Key partnerships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Co-lending and fintech / API partners; Business Correspondent network</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CBS, LOS / LMS, Payment Switch, BC / agent application, Partner APIs</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Fintech / API Partnership and Outsourcing Governance</w:t>
      </w:r>
    </w:p>
    <w:p>
      <w:pPr>
        <w:pStyle w:val="ListParagraph"/>
        <w:numPr>
          <w:ilvl w:val="0"/>
          <w:numId w:val="2"/>
        </w:numPr>
        <w:spacing w:after="90" w:line="268"/>
      </w:pPr>
      <w:r>
        <w:t xml:space="preserve">Due diligence and ongoing monitoring of several fintech / API and co-lending partners were not commensurate with the bank's reliance, and exit arrangements / NDAs were not documented.</w:t>
      </w:r>
    </w:p>
    <w:p>
      <w:pPr>
        <w:pStyle w:val="Heading2"/>
        <w:shd w:fill="DCE6F1" w:val="clear"/>
        <w:spacing w:after="100" w:before="180"/>
      </w:pPr>
      <w:r>
        <w:rPr>
          <w:b/>
          <w:bCs/>
          <w:color w:val="1F3864"/>
          <w:sz w:val="21"/>
          <w:szCs w:val="21"/>
        </w:rPr>
        <w:t xml:space="preserve">CBS Migration and Data Integrity</w:t>
      </w:r>
    </w:p>
    <w:p>
      <w:pPr>
        <w:pStyle w:val="ListParagraph"/>
        <w:numPr>
          <w:ilvl w:val="0"/>
          <w:numId w:val="2"/>
        </w:numPr>
        <w:spacing w:after="90" w:line="268"/>
      </w:pPr>
      <w:r>
        <w:t xml:space="preserve">Independent post-migration reconciliation and data-integrity validation on the new CBS were not completed; funds were observed parked in migration GL heads pending reconciliation.</w:t>
      </w:r>
    </w:p>
    <w:p>
      <w:pPr>
        <w:pStyle w:val="Heading2"/>
        <w:shd w:fill="DCE6F1" w:val="clear"/>
        <w:spacing w:after="100" w:before="180"/>
      </w:pPr>
      <w:r>
        <w:rPr>
          <w:b/>
          <w:bCs/>
          <w:color w:val="1F3864"/>
          <w:sz w:val="21"/>
          <w:szCs w:val="21"/>
        </w:rPr>
        <w:t xml:space="preserve">Agent / Business-Correspondent Application Security</w:t>
      </w:r>
    </w:p>
    <w:p>
      <w:pPr>
        <w:pStyle w:val="ListParagraph"/>
        <w:numPr>
          <w:ilvl w:val="0"/>
          <w:numId w:val="2"/>
        </w:numPr>
        <w:spacing w:after="90" w:line="268"/>
      </w:pPr>
      <w:r>
        <w:t xml:space="preserve">Agent / BC applications lacked consistent device binding and several endpoints were not centrally managed.</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Rapid onboarding of digital products outpaced the maturation of supporting IT-risk and control processes; security / risk gating was not embedded in the product-launch process.</w:t>
      </w:r>
      <w:r>
        <w:rPr>
          <w:b/>
          <w:bCs/>
        </w:rPr>
        <w:t xml:space="preserve">	(Action)</w:t>
      </w:r>
    </w:p>
    <w:p>
      <w:pPr>
        <w:pStyle w:val="ListParagraph"/>
        <w:numPr>
          <w:ilvl w:val="0"/>
          <w:numId w:val="2"/>
        </w:numPr>
        <w:tabs>
          <w:tab w:val="right" w:pos="8926"/>
        </w:tabs>
        <w:spacing w:after="90" w:line="268"/>
      </w:pPr>
      <w:r>
        <w:t xml:space="preserve">The Digital Payment Security Controls Policy did not fully articulate the digital payment cycle and exception handling for each product, which was non-adherence to para 4 of Chapter II of the DPSC Master Direction.</w:t>
      </w:r>
      <w:r>
        <w:rPr>
          <w:b/>
          <w:bCs/>
        </w:rPr>
        <w:t xml:space="preserve">	(Action)</w:t>
      </w:r>
    </w:p>
    <w:p>
      <w:pPr>
        <w:pStyle w:val="Heading2"/>
        <w:shd w:fill="DCE6F1" w:val="clear"/>
        <w:spacing w:after="100" w:before="180"/>
      </w:pPr>
      <w:r>
        <w:rPr>
          <w:b/>
          <w:bCs/>
          <w:color w:val="1F3864"/>
          <w:sz w:val="21"/>
          <w:szCs w:val="21"/>
        </w:rPr>
        <w:t xml:space="preserve">CBS Migration and Data Integrity</w:t>
      </w:r>
    </w:p>
    <w:p>
      <w:pPr>
        <w:pStyle w:val="ListParagraph"/>
        <w:numPr>
          <w:ilvl w:val="0"/>
          <w:numId w:val="2"/>
        </w:numPr>
        <w:tabs>
          <w:tab w:val="right" w:pos="8926"/>
        </w:tabs>
        <w:spacing w:after="90" w:line="268"/>
      </w:pPr>
      <w:r>
        <w:t xml:space="preserve">Following the CBS migration, a post-migration audit identified discrepancies in balances and amounts and funds parked in multiple migration GL heads; reconciliation was not completed as on the date of examination, and no Board-approved migration SOP was in place.</w:t>
      </w:r>
      <w:r>
        <w:rPr>
          <w:b/>
          <w:bCs/>
        </w:rPr>
        <w:t xml:space="preserve">	(Action)</w:t>
      </w:r>
    </w:p>
    <w:p>
      <w:pPr>
        <w:pStyle w:val="Heading2"/>
        <w:shd w:fill="DCE6F1" w:val="clear"/>
        <w:spacing w:after="100" w:before="180"/>
      </w:pPr>
      <w:r>
        <w:rPr>
          <w:b/>
          <w:bCs/>
          <w:color w:val="1F3864"/>
          <w:sz w:val="21"/>
          <w:szCs w:val="21"/>
        </w:rPr>
        <w:t xml:space="preserve">Agent / Business-Correspondent Application Security</w:t>
      </w:r>
    </w:p>
    <w:p>
      <w:pPr>
        <w:pStyle w:val="ListParagraph"/>
        <w:numPr>
          <w:ilvl w:val="0"/>
          <w:numId w:val="2"/>
        </w:numPr>
        <w:tabs>
          <w:tab w:val="right" w:pos="8926"/>
        </w:tabs>
        <w:spacing w:after="90" w:line="268"/>
      </w:pPr>
      <w:r>
        <w:t xml:space="preserve">Agent / BC applications lacked consistent device binding, and several agent endpoints were not under central mobile-device management.</w:t>
      </w:r>
      <w:r>
        <w:rPr>
          <w:b/>
          <w:bCs/>
        </w:rPr>
        <w:t xml:space="preserve">	(Action)</w:t>
      </w:r>
    </w:p>
    <w:p>
      <w:pPr>
        <w:pStyle w:val="Heading2"/>
        <w:shd w:fill="DCE6F1" w:val="clear"/>
        <w:spacing w:after="100" w:before="180"/>
      </w:pPr>
      <w:r>
        <w:rPr>
          <w:b/>
          <w:bCs/>
          <w:color w:val="1F3864"/>
          <w:sz w:val="21"/>
          <w:szCs w:val="21"/>
        </w:rPr>
        <w:t xml:space="preserve">Fintech / API Partnership and Outsourcing</w:t>
      </w:r>
    </w:p>
    <w:p>
      <w:pPr>
        <w:spacing w:after="120" w:line="276"/>
      </w:pPr>
      <w:r>
        <w:t xml:space="preserve">The following gaps were observed, which were in violation of the Master Direction on Outsourcing of IT Services dated April 10, 2023 and the third-party provisions of the IT Governance Directions, 2023:</w:t>
      </w:r>
    </w:p>
    <w:p>
      <w:pPr>
        <w:pStyle w:val="ListParagraph"/>
        <w:numPr>
          <w:ilvl w:val="0"/>
          <w:numId w:val="2"/>
        </w:numPr>
        <w:tabs>
          <w:tab w:val="right" w:pos="8926"/>
        </w:tabs>
        <w:spacing w:after="90" w:line="268"/>
      </w:pPr>
      <w:r>
        <w:t xml:space="preserve">Due diligence and ongoing monitoring of fintech / API and co-lending partners were not commensurate with reliance; an inventory of outsourced services with exit arrangements was not maintained.</w:t>
      </w:r>
      <w:r>
        <w:rPr>
          <w:b/>
          <w:bCs/>
        </w:rPr>
        <w:t xml:space="preserve">	(Action)</w:t>
      </w:r>
    </w:p>
    <w:p>
      <w:pPr>
        <w:pStyle w:val="ListParagraph"/>
        <w:numPr>
          <w:ilvl w:val="0"/>
          <w:numId w:val="2"/>
        </w:numPr>
        <w:tabs>
          <w:tab w:val="right" w:pos="8926"/>
        </w:tabs>
        <w:spacing w:after="90" w:line="268"/>
      </w:pPr>
      <w:r>
        <w:t xml:space="preserve">NDA / SLA were not on record for certain technology and partner service providers.</w:t>
      </w:r>
      <w:r>
        <w:rPr>
          <w:b/>
          <w:bCs/>
        </w:rPr>
        <w:t xml:space="preserve">	(Action)</w:t>
      </w:r>
    </w:p>
    <w:p>
      <w:pPr>
        <w:pStyle w:val="Heading2"/>
        <w:shd w:fill="DCE6F1" w:val="clear"/>
        <w:spacing w:after="100" w:before="180"/>
      </w:pPr>
      <w:r>
        <w:rPr>
          <w:b/>
          <w:bCs/>
          <w:color w:val="1F3864"/>
          <w:sz w:val="21"/>
          <w:szCs w:val="21"/>
        </w:rPr>
        <w:t xml:space="preserve">Network and Secure Configuration</w:t>
      </w:r>
    </w:p>
    <w:p>
      <w:pPr>
        <w:pStyle w:val="ListParagraph"/>
        <w:numPr>
          <w:ilvl w:val="0"/>
          <w:numId w:val="2"/>
        </w:numPr>
        <w:tabs>
          <w:tab w:val="right" w:pos="8926"/>
        </w:tabs>
        <w:spacing w:after="90" w:line="268"/>
      </w:pPr>
      <w:r>
        <w:t xml:space="preserve">Secure Configuration Documents were not defined for certain cloud / network components and periodic configuration review was not performed.</w:t>
      </w:r>
      <w:r>
        <w:rPr>
          <w:b/>
          <w:bCs/>
        </w:rPr>
        <w:t xml:space="preserve">	(Action)</w:t>
      </w:r>
    </w:p>
    <w:p>
      <w:pPr>
        <w:pStyle w:val="Heading2"/>
        <w:shd w:fill="DCE6F1" w:val="clear"/>
        <w:spacing w:after="100" w:before="180"/>
      </w:pPr>
      <w:r>
        <w:rPr>
          <w:b/>
          <w:bCs/>
          <w:color w:val="1F3864"/>
          <w:sz w:val="21"/>
          <w:szCs w:val="21"/>
        </w:rPr>
        <w:t xml:space="preserve">Patch, Vulnerability and Change Management</w:t>
      </w:r>
    </w:p>
    <w:p>
      <w:pPr>
        <w:pStyle w:val="ListParagraph"/>
        <w:numPr>
          <w:ilvl w:val="0"/>
          <w:numId w:val="2"/>
        </w:numPr>
        <w:tabs>
          <w:tab w:val="right" w:pos="8926"/>
        </w:tabs>
        <w:spacing w:after="90" w:line="268"/>
      </w:pPr>
      <w:r>
        <w:t xml:space="preserve">VA/PT of certain newly launched services was not completed prior to go-live and remediation sign-off was not obtained.</w:t>
      </w:r>
      <w:r>
        <w:rPr>
          <w:b/>
          <w:bCs/>
        </w:rPr>
        <w:t xml:space="preserve">	(Action)</w:t>
      </w:r>
    </w:p>
    <w:p>
      <w:pPr>
        <w:pStyle w:val="Heading2"/>
        <w:shd w:fill="DCE6F1" w:val="clear"/>
        <w:spacing w:after="100" w:before="180"/>
      </w:pPr>
      <w:r>
        <w:rPr>
          <w:b/>
          <w:bCs/>
          <w:color w:val="1F3864"/>
          <w:sz w:val="21"/>
          <w:szCs w:val="21"/>
        </w:rPr>
        <w:t xml:space="preserve">User Access Control / Management</w:t>
      </w:r>
    </w:p>
    <w:p>
      <w:pPr>
        <w:pStyle w:val="ListParagraph"/>
        <w:numPr>
          <w:ilvl w:val="0"/>
          <w:numId w:val="2"/>
        </w:numPr>
        <w:tabs>
          <w:tab w:val="right" w:pos="8926"/>
        </w:tabs>
        <w:spacing w:after="90" w:line="268"/>
      </w:pPr>
      <w:r>
        <w:t xml:space="preserve">Privileged access across cloud and partner-facing components was not fully governed through PAM and MFA; periodic access reviews were inconsistent.</w:t>
      </w:r>
      <w:r>
        <w:rPr>
          <w:b/>
          <w:bCs/>
        </w:rPr>
        <w:t xml:space="preserve">	(Action)</w:t>
      </w:r>
    </w:p>
    <w:p>
      <w:pPr>
        <w:pStyle w:val="Heading2"/>
        <w:shd w:fill="DCE6F1" w:val="clear"/>
        <w:spacing w:after="100" w:before="180"/>
      </w:pPr>
      <w:r>
        <w:rPr>
          <w:b/>
          <w:bCs/>
          <w:color w:val="1F3864"/>
          <w:sz w:val="21"/>
          <w:szCs w:val="21"/>
        </w:rPr>
        <w:t xml:space="preserve">Fraud Risk Management (FRM)</w:t>
      </w:r>
    </w:p>
    <w:p>
      <w:pPr>
        <w:pStyle w:val="ListParagraph"/>
        <w:numPr>
          <w:ilvl w:val="0"/>
          <w:numId w:val="2"/>
        </w:numPr>
        <w:tabs>
          <w:tab w:val="right" w:pos="8926"/>
        </w:tabs>
        <w:spacing w:after="90" w:line="268"/>
      </w:pPr>
      <w:r>
        <w:t xml:space="preserve">Real-time monitoring did not fully account for the velocity patterns of UPI and small-ticket digital lending disbursements, limiting detection of mule-account and fraud patterns.</w:t>
      </w:r>
      <w:r>
        <w:rPr>
          <w:b/>
          <w:bCs/>
        </w:rPr>
        <w:t xml:space="preserve">	(Action)</w:t>
      </w:r>
    </w:p>
    <w:p>
      <w:pPr>
        <w:pStyle w:val="Heading2"/>
        <w:shd w:fill="DCE6F1" w:val="clear"/>
        <w:spacing w:after="100" w:before="180"/>
      </w:pPr>
      <w:r>
        <w:rPr>
          <w:b/>
          <w:bCs/>
          <w:color w:val="1F3864"/>
          <w:sz w:val="21"/>
          <w:szCs w:val="21"/>
        </w:rPr>
        <w:t xml:space="preserve">Personal / Mobile Banking (DPSC)</w:t>
      </w:r>
    </w:p>
    <w:p>
      <w:pPr>
        <w:spacing w:after="120" w:line="276"/>
      </w:pPr>
      <w:r>
        <w:t xml:space="preserve">The following gaps were observed, which were in violation of the DPSC Master Direction dated February 18, 2021:</w:t>
      </w:r>
    </w:p>
    <w:p>
      <w:pPr>
        <w:pStyle w:val="ListParagraph"/>
        <w:numPr>
          <w:ilvl w:val="0"/>
          <w:numId w:val="2"/>
        </w:numPr>
        <w:tabs>
          <w:tab w:val="right" w:pos="8926"/>
        </w:tabs>
        <w:spacing w:after="90" w:line="268"/>
      </w:pPr>
      <w:r>
        <w:t xml:space="preserve">Detection of access from unsecured networks and corresponding step-up controls were not implemented on the mobile banking application, which was non-adherence to para 62 of the DPSC Master Direction.</w:t>
      </w:r>
      <w:r>
        <w:rPr>
          <w:b/>
          <w:bCs/>
        </w:rPr>
        <w:t xml:space="preserve">	(Action)</w:t>
      </w:r>
    </w:p>
    <w:p>
      <w:pPr>
        <w:pStyle w:val="ListParagraph"/>
        <w:numPr>
          <w:ilvl w:val="0"/>
          <w:numId w:val="2"/>
        </w:numPr>
        <w:tabs>
          <w:tab w:val="right" w:pos="8926"/>
        </w:tabs>
        <w:spacing w:after="90" w:line="268"/>
      </w:pPr>
      <w:r>
        <w:t xml:space="preserve">PII (PAN, mobile number) was not masked in customer-facing databases.</w:t>
      </w:r>
      <w:r>
        <w:rPr>
          <w:b/>
          <w:bCs/>
        </w:rPr>
        <w:t xml:space="preserve">	(Action)</w:t>
      </w:r>
    </w:p>
    <w:p>
      <w:pPr>
        <w:pStyle w:val="Heading2"/>
        <w:shd w:fill="DCE6F1" w:val="clear"/>
        <w:spacing w:after="100" w:before="180"/>
      </w:pPr>
      <w:r>
        <w:rPr>
          <w:b/>
          <w:bCs/>
          <w:color w:val="1F3864"/>
          <w:sz w:val="21"/>
          <w:szCs w:val="21"/>
        </w:rPr>
        <w:t xml:space="preserve">Business Continuity and Disaster Recovery</w:t>
      </w:r>
    </w:p>
    <w:p>
      <w:pPr>
        <w:pStyle w:val="ListParagraph"/>
        <w:numPr>
          <w:ilvl w:val="0"/>
          <w:numId w:val="2"/>
        </w:numPr>
        <w:tabs>
          <w:tab w:val="right" w:pos="8926"/>
        </w:tabs>
        <w:spacing w:after="90" w:line="268"/>
      </w:pPr>
      <w:r>
        <w:t xml:space="preserve">DR failover for the newly migrated cloud CBS had not been validated end-to-end.</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25</w:t>
      </w:r>
    </w:p>
    <w:p>
      <w:pPr>
        <w:pStyle w:val="ListParagraph"/>
        <w:numPr>
          <w:ilvl w:val="0"/>
          <w:numId w:val="2"/>
        </w:numPr>
        <w:spacing w:after="90" w:line="268"/>
      </w:pPr>
      <w:r>
        <w:rPr>
          <w:b/>
          <w:bCs/>
        </w:rPr>
        <w:t xml:space="preserve">Section 3 Observations: </w:t>
      </w:r>
      <w:r>
        <w:t xml:space="preserve">13 Action Points</w:t>
      </w:r>
    </w:p>
    <w:p>
      <w:pPr>
        <w:pStyle w:val="ListParagraph"/>
        <w:numPr>
          <w:ilvl w:val="0"/>
          <w:numId w:val="2"/>
        </w:numPr>
        <w:spacing w:after="90" w:line="268"/>
      </w:pPr>
      <w:r>
        <w:rPr>
          <w:b/>
          <w:bCs/>
        </w:rPr>
        <w:t xml:space="preserve">Annex I — Non-complied previous ITE observations: </w:t>
      </w:r>
      <w:r>
        <w:t xml:space="preserve">3 Action Points</w:t>
      </w:r>
    </w:p>
    <w:p>
      <w:pPr>
        <w:pStyle w:val="ListParagraph"/>
        <w:numPr>
          <w:ilvl w:val="0"/>
          <w:numId w:val="2"/>
        </w:numPr>
        <w:spacing w:after="90" w:line="268"/>
      </w:pPr>
      <w:r>
        <w:rPr>
          <w:b/>
          <w:bCs/>
        </w:rPr>
        <w:t xml:space="preserve">Annex II — Non-compliance to Advisories and Alerts: </w:t>
      </w:r>
      <w:r>
        <w:t xml:space="preserve">6 Action Points</w:t>
      </w:r>
    </w:p>
    <w:p>
      <w:pPr>
        <w:pStyle w:val="ListParagraph"/>
        <w:numPr>
          <w:ilvl w:val="0"/>
          <w:numId w:val="2"/>
        </w:numPr>
        <w:spacing w:after="90" w:line="268"/>
      </w:pPr>
      <w:r>
        <w:rPr>
          <w:b/>
          <w:bCs/>
        </w:rPr>
        <w:t xml:space="preserve">Annex III — Non-compliance to DPSC Circular: </w:t>
      </w:r>
      <w:r>
        <w:t xml:space="preserve">3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In-house engineering capability is being built to reduce vendor dependence.</w:t>
      </w:r>
    </w:p>
    <w:p>
      <w:pPr>
        <w:pStyle w:val="ListParagraph"/>
        <w:numPr>
          <w:ilvl w:val="0"/>
          <w:numId w:val="2"/>
        </w:numPr>
        <w:spacing w:after="90" w:line="268"/>
      </w:pPr>
      <w:r>
        <w:t xml:space="preserve">The IS audit plan did not specifically cover partner API integrations.</w:t>
      </w:r>
    </w:p>
    <w:p>
      <w:pPr>
        <w:pStyle w:val="ListParagraph"/>
        <w:numPr>
          <w:ilvl w:val="0"/>
          <w:numId w:val="2"/>
        </w:numPr>
        <w:spacing w:after="90" w:line="268"/>
      </w:pPr>
      <w:r>
        <w:t xml:space="preserve">Capacity planning for high-velocity channels was being formalised.</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 (thematic)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Migration</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CBS migration completed; post-migration assurance pending.</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 (thematic)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Partner Risk</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Partner-risk framework not fully established.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 (thematic)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Access Control</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MFA / access reviews inconsistent on cloud components.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Strengthening Controls on the Payment System Infrastructure and General Control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Board-approved policy for digital payment products covering Functionality, Security and Performance (FSP) aspects; periodic (at least yearly) review.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Detection of access from unsecured networks and appropriate step-up controls for mobile banking.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26</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Process to compare results of successive VA scans to confirm non-recurrence of known vulnerabilities.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NSFB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Navshakti Small Finance Bank Limited</dc:title>
  <dc:creator>RBI CSITEG (fictional sample)</dc:creator>
  <cp:lastModifiedBy>Un-named</cp:lastModifiedBy>
  <cp:revision>1</cp:revision>
  <dcterms:created xsi:type="dcterms:W3CDTF">2026-06-16T03:00:56.892Z</dcterms:created>
  <dcterms:modified xsi:type="dcterms:W3CDTF">2026-06-16T03:00:56.892Z</dcterms:modified>
</cp:coreProperties>
</file>

<file path=docProps/custom.xml><?xml version="1.0" encoding="utf-8"?>
<Properties xmlns="http://schemas.openxmlformats.org/officeDocument/2006/custom-properties" xmlns:vt="http://schemas.openxmlformats.org/officeDocument/2006/docPropsVTypes"/>
</file>