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Master Direction gap analysis report with remediation plan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Digital Payment Security Controls Policy did not fully articulate the digital payment cycle and exception handling for each product, which was non-adherence to para 4 of Chapter II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