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DI_NSFB_3_2_1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Board-approved CBS migration SOP covering reconciliation and balance verification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3.2.1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3.2.1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Following the CBS migration, a post-migration audit identified discrepancies in balances and amounts and funds parked in multiple migration GL heads; reconciliation was not completed as on the date of examination, and no Board-approved migration SOP was in place.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