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Post-migration audit report identifying discrepancies and GL head balances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Following the CBS migration, a post-migration audit identified discrepancies in balances and amounts and funds parked in multiple migration GL heads; reconciliation was not completed as on the date of examination, and no Board-approved migration SOP was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