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CBS migration reconciliation status report as on examination date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Following the CBS migration, a post-migration audit identified discrepancies in balances and amounts and funds parked in multiple migration GL heads; reconciliation was not completed as on the date of examination, and no Board-approved migration SOP was in place.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