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Agent/BC application device binding and central MDM policy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Agent / BC applications lacked consistent device binding, and several agent endpoints were not under central mobile-device management.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