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Central mobile-device management compliance report for agent endpoints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Agent / BC applications lacked consistent device binding, and several agent endpoints were not under central mobile-device management.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