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Agent device security gap analysis including inconsistent device binding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Agent / BC applications lacked consistent device binding, and several agent endpoints were not under central mobile-device management.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