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and MFA policy for privileged access across cloud and partner-facing components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across cloud and partner-facing components was not fully governed through PAM and MFA; periodic access reviews were inconsistent.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